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9C" w:rsidRPr="00545ADA" w:rsidRDefault="0046139C" w:rsidP="0046139C">
      <w:pPr>
        <w:jc w:val="center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 xml:space="preserve">LEI COMPLEMENTAR Nº 108,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DEZEMBRO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46139C" w:rsidRPr="00545ADA" w:rsidRDefault="0046139C" w:rsidP="0046139C">
      <w:pPr>
        <w:spacing w:line="283" w:lineRule="auto"/>
        <w:rPr>
          <w:b/>
          <w:color w:val="000000"/>
          <w:sz w:val="24"/>
          <w:szCs w:val="24"/>
        </w:rPr>
      </w:pPr>
    </w:p>
    <w:p w:rsidR="0046139C" w:rsidRPr="00545ADA" w:rsidRDefault="0046139C" w:rsidP="0046139C">
      <w:pPr>
        <w:ind w:left="4819"/>
        <w:jc w:val="both"/>
        <w:rPr>
          <w:sz w:val="24"/>
          <w:szCs w:val="24"/>
        </w:rPr>
      </w:pPr>
      <w:r w:rsidRPr="00545ADA">
        <w:rPr>
          <w:sz w:val="24"/>
          <w:szCs w:val="24"/>
        </w:rPr>
        <w:t>Altera dispositivos da Lei Complementar N</w:t>
      </w:r>
      <w:r w:rsidRPr="00545ADA">
        <w:rPr>
          <w:sz w:val="24"/>
          <w:szCs w:val="24"/>
          <w:vertAlign w:val="superscript"/>
        </w:rPr>
        <w:t>o.</w:t>
      </w:r>
      <w:r w:rsidRPr="00545ADA">
        <w:rPr>
          <w:sz w:val="24"/>
          <w:szCs w:val="24"/>
        </w:rPr>
        <w:t xml:space="preserve"> 001/02 de 11/12/2002, que instituiu o Código Tributário Municipal de Formiga. </w:t>
      </w:r>
    </w:p>
    <w:p w:rsidR="0046139C" w:rsidRPr="00545ADA" w:rsidRDefault="0046139C" w:rsidP="0046139C">
      <w:pPr>
        <w:spacing w:line="283" w:lineRule="auto"/>
        <w:rPr>
          <w:b/>
          <w:color w:val="000000"/>
          <w:sz w:val="24"/>
          <w:szCs w:val="24"/>
        </w:rPr>
      </w:pPr>
    </w:p>
    <w:p w:rsidR="0046139C" w:rsidRPr="00545ADA" w:rsidRDefault="0046139C" w:rsidP="0046139C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46139C" w:rsidRPr="00545ADA" w:rsidRDefault="0046139C" w:rsidP="0046139C">
      <w:pPr>
        <w:ind w:firstLine="1417"/>
        <w:jc w:val="both"/>
        <w:rPr>
          <w:sz w:val="24"/>
          <w:szCs w:val="24"/>
        </w:rPr>
      </w:pPr>
      <w:r w:rsidRPr="00545ADA">
        <w:rPr>
          <w:sz w:val="24"/>
          <w:szCs w:val="24"/>
        </w:rPr>
        <w:t>O POVO DO MUNICÍPIO DE FORMIGA, POR SEUS REPRESENTANTES, APROVA E EU SANCIONO A SEGUINTE LEI COMPLEMENTAR:</w:t>
      </w:r>
    </w:p>
    <w:p w:rsidR="0046139C" w:rsidRPr="00545ADA" w:rsidRDefault="0046139C" w:rsidP="0046139C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46139C" w:rsidRPr="00545ADA" w:rsidRDefault="0046139C" w:rsidP="0046139C">
      <w:pPr>
        <w:ind w:firstLine="1417"/>
        <w:jc w:val="both"/>
        <w:rPr>
          <w:bCs/>
          <w:sz w:val="24"/>
          <w:szCs w:val="24"/>
        </w:rPr>
      </w:pPr>
      <w:r w:rsidRPr="00545ADA">
        <w:rPr>
          <w:b/>
          <w:bCs/>
          <w:sz w:val="24"/>
          <w:szCs w:val="24"/>
        </w:rPr>
        <w:t>Art. 1</w:t>
      </w:r>
      <w:r w:rsidRPr="00545ADA">
        <w:rPr>
          <w:b/>
          <w:bCs/>
          <w:sz w:val="24"/>
          <w:szCs w:val="24"/>
          <w:vertAlign w:val="superscript"/>
        </w:rPr>
        <w:t>o</w:t>
      </w:r>
      <w:r w:rsidRPr="00545ADA">
        <w:rPr>
          <w:b/>
          <w:bCs/>
          <w:sz w:val="24"/>
          <w:szCs w:val="24"/>
        </w:rPr>
        <w:t xml:space="preserve"> </w:t>
      </w:r>
      <w:r w:rsidRPr="00545ADA">
        <w:rPr>
          <w:bCs/>
          <w:sz w:val="24"/>
          <w:szCs w:val="24"/>
        </w:rPr>
        <w:t>O inciso I, do artigo 65 da Lei Complementar 001/02 de 11/12/2002, passa a viger com a seguinte redação:</w:t>
      </w:r>
    </w:p>
    <w:p w:rsidR="0046139C" w:rsidRPr="00545ADA" w:rsidRDefault="0046139C" w:rsidP="0046139C">
      <w:pPr>
        <w:ind w:firstLine="1417"/>
        <w:jc w:val="both"/>
        <w:rPr>
          <w:bCs/>
          <w:sz w:val="24"/>
          <w:szCs w:val="24"/>
        </w:rPr>
      </w:pPr>
    </w:p>
    <w:p w:rsidR="0046139C" w:rsidRPr="00545ADA" w:rsidRDefault="0046139C" w:rsidP="0046139C">
      <w:pPr>
        <w:ind w:left="1416" w:firstLine="2"/>
        <w:jc w:val="both"/>
        <w:rPr>
          <w:i/>
          <w:sz w:val="24"/>
          <w:szCs w:val="24"/>
        </w:rPr>
      </w:pPr>
      <w:r w:rsidRPr="00545ADA">
        <w:rPr>
          <w:bCs/>
          <w:sz w:val="24"/>
          <w:szCs w:val="24"/>
        </w:rPr>
        <w:t>“</w:t>
      </w:r>
      <w:r w:rsidRPr="00545ADA">
        <w:rPr>
          <w:bCs/>
          <w:i/>
          <w:sz w:val="24"/>
          <w:szCs w:val="24"/>
        </w:rPr>
        <w:t>Art. 65....</w:t>
      </w:r>
    </w:p>
    <w:p w:rsidR="0046139C" w:rsidRPr="00545ADA" w:rsidRDefault="0046139C" w:rsidP="0046139C">
      <w:pPr>
        <w:ind w:left="1416" w:firstLine="2"/>
        <w:jc w:val="both"/>
        <w:rPr>
          <w:i/>
          <w:sz w:val="24"/>
          <w:szCs w:val="24"/>
        </w:rPr>
      </w:pPr>
      <w:r w:rsidRPr="00545ADA">
        <w:rPr>
          <w:i/>
          <w:sz w:val="24"/>
          <w:szCs w:val="24"/>
        </w:rPr>
        <w:t>I - Por deixar de apresentar a documentação indispensável à fiscalização: multa de 4 (quatro) UFPMF por infração, que tem como fato gerador, a não apresentação à Fiscalização, de informações ou documentos solicitados mediante notificação fiscal, caracterizando uma infração, para cada documento não apresentado no prazo estipulado na respectiva intimação fiscal;</w:t>
      </w:r>
    </w:p>
    <w:p w:rsidR="0046139C" w:rsidRPr="00545ADA" w:rsidRDefault="0046139C" w:rsidP="0046139C">
      <w:pPr>
        <w:ind w:left="1416" w:firstLine="1417"/>
        <w:jc w:val="both"/>
        <w:rPr>
          <w:sz w:val="24"/>
          <w:szCs w:val="24"/>
        </w:rPr>
      </w:pPr>
      <w:r w:rsidRPr="00545ADA">
        <w:rPr>
          <w:i/>
          <w:sz w:val="24"/>
          <w:szCs w:val="24"/>
        </w:rPr>
        <w:t>...”</w:t>
      </w:r>
    </w:p>
    <w:p w:rsidR="0046139C" w:rsidRPr="00545ADA" w:rsidRDefault="0046139C" w:rsidP="0046139C">
      <w:pPr>
        <w:ind w:firstLine="1417"/>
        <w:jc w:val="both"/>
        <w:rPr>
          <w:sz w:val="24"/>
          <w:szCs w:val="24"/>
        </w:rPr>
      </w:pPr>
    </w:p>
    <w:p w:rsidR="0046139C" w:rsidRPr="00545ADA" w:rsidRDefault="0046139C" w:rsidP="0046139C">
      <w:pPr>
        <w:ind w:firstLine="1417"/>
        <w:jc w:val="both"/>
        <w:rPr>
          <w:bCs/>
          <w:sz w:val="24"/>
          <w:szCs w:val="24"/>
        </w:rPr>
      </w:pPr>
      <w:r w:rsidRPr="00545ADA">
        <w:rPr>
          <w:b/>
          <w:bCs/>
          <w:sz w:val="24"/>
          <w:szCs w:val="24"/>
        </w:rPr>
        <w:t>Art. 2</w:t>
      </w:r>
      <w:r w:rsidRPr="00545ADA">
        <w:rPr>
          <w:b/>
          <w:bCs/>
          <w:sz w:val="24"/>
          <w:szCs w:val="24"/>
          <w:vertAlign w:val="superscript"/>
        </w:rPr>
        <w:t xml:space="preserve">o </w:t>
      </w:r>
      <w:r w:rsidRPr="00545ADA">
        <w:rPr>
          <w:bCs/>
          <w:sz w:val="24"/>
          <w:szCs w:val="24"/>
        </w:rPr>
        <w:t>Ficam acrescidos os parágrafos 1</w:t>
      </w:r>
      <w:r w:rsidRPr="00545ADA">
        <w:rPr>
          <w:bCs/>
          <w:sz w:val="24"/>
          <w:szCs w:val="24"/>
          <w:vertAlign w:val="superscript"/>
        </w:rPr>
        <w:t>o</w:t>
      </w:r>
      <w:r w:rsidRPr="00545ADA">
        <w:rPr>
          <w:bCs/>
          <w:sz w:val="24"/>
          <w:szCs w:val="24"/>
        </w:rPr>
        <w:t>,</w:t>
      </w:r>
      <w:r w:rsidRPr="00545ADA">
        <w:rPr>
          <w:bCs/>
          <w:sz w:val="24"/>
          <w:szCs w:val="24"/>
          <w:vertAlign w:val="superscript"/>
        </w:rPr>
        <w:t xml:space="preserve"> </w:t>
      </w:r>
      <w:r w:rsidRPr="00545ADA">
        <w:rPr>
          <w:bCs/>
          <w:sz w:val="24"/>
          <w:szCs w:val="24"/>
        </w:rPr>
        <w:t>2</w:t>
      </w:r>
      <w:r w:rsidRPr="00545ADA">
        <w:rPr>
          <w:bCs/>
          <w:sz w:val="24"/>
          <w:szCs w:val="24"/>
          <w:vertAlign w:val="superscript"/>
        </w:rPr>
        <w:t>o</w:t>
      </w:r>
      <w:r w:rsidRPr="00545ADA">
        <w:rPr>
          <w:bCs/>
          <w:sz w:val="24"/>
          <w:szCs w:val="24"/>
        </w:rPr>
        <w:t>, 3</w:t>
      </w:r>
      <w:r w:rsidRPr="00545ADA">
        <w:rPr>
          <w:bCs/>
          <w:sz w:val="24"/>
          <w:szCs w:val="24"/>
          <w:vertAlign w:val="superscript"/>
        </w:rPr>
        <w:t>o</w:t>
      </w:r>
      <w:r w:rsidRPr="00545ADA">
        <w:rPr>
          <w:bCs/>
          <w:sz w:val="24"/>
          <w:szCs w:val="24"/>
        </w:rPr>
        <w:t xml:space="preserve"> e</w:t>
      </w:r>
      <w:r w:rsidRPr="00545ADA">
        <w:rPr>
          <w:bCs/>
          <w:sz w:val="24"/>
          <w:szCs w:val="24"/>
          <w:vertAlign w:val="superscript"/>
        </w:rPr>
        <w:t xml:space="preserve"> </w:t>
      </w:r>
      <w:r w:rsidRPr="00545ADA">
        <w:rPr>
          <w:bCs/>
          <w:sz w:val="24"/>
          <w:szCs w:val="24"/>
        </w:rPr>
        <w:t>4</w:t>
      </w:r>
      <w:r w:rsidRPr="00545ADA">
        <w:rPr>
          <w:bCs/>
          <w:sz w:val="24"/>
          <w:szCs w:val="24"/>
          <w:vertAlign w:val="superscript"/>
        </w:rPr>
        <w:t>o</w:t>
      </w:r>
      <w:r w:rsidRPr="00545ADA">
        <w:rPr>
          <w:bCs/>
          <w:sz w:val="24"/>
          <w:szCs w:val="24"/>
        </w:rPr>
        <w:t xml:space="preserve"> à redação do artigo 65, da Lei Complementar 001/02 de 11/12/2002, passando a viger com a seguinte redação: </w:t>
      </w:r>
    </w:p>
    <w:p w:rsidR="0046139C" w:rsidRPr="00545ADA" w:rsidRDefault="0046139C" w:rsidP="0046139C">
      <w:pPr>
        <w:ind w:firstLine="1417"/>
        <w:jc w:val="both"/>
        <w:rPr>
          <w:bCs/>
          <w:sz w:val="24"/>
          <w:szCs w:val="24"/>
        </w:rPr>
      </w:pPr>
    </w:p>
    <w:p w:rsidR="0046139C" w:rsidRPr="00545ADA" w:rsidRDefault="0046139C" w:rsidP="0046139C">
      <w:pPr>
        <w:ind w:left="1418"/>
        <w:jc w:val="both"/>
        <w:rPr>
          <w:bCs/>
          <w:i/>
          <w:sz w:val="24"/>
          <w:szCs w:val="24"/>
        </w:rPr>
      </w:pPr>
      <w:r w:rsidRPr="00545ADA">
        <w:rPr>
          <w:bCs/>
          <w:i/>
          <w:sz w:val="24"/>
          <w:szCs w:val="24"/>
        </w:rPr>
        <w:t>“§1</w:t>
      </w:r>
      <w:r w:rsidRPr="00545ADA">
        <w:rPr>
          <w:bCs/>
          <w:i/>
          <w:sz w:val="24"/>
          <w:szCs w:val="24"/>
          <w:vertAlign w:val="superscript"/>
        </w:rPr>
        <w:t xml:space="preserve">o </w:t>
      </w:r>
      <w:r w:rsidRPr="00545ADA">
        <w:rPr>
          <w:bCs/>
          <w:i/>
          <w:sz w:val="24"/>
          <w:szCs w:val="24"/>
        </w:rPr>
        <w:t>Em caso de reincidência da infração de não apresentar documentos ou informações à Fiscalização, solicitado por meio de Intimação Fiscal, sujeitará o infrator à penalidade prevista nos incisos do artigo 65 da LC 001/2002, especialmente o inciso I, aplicada em dobro, a cada reincidência, por cada documento não apresentado, ficando configurado reincidente, quando o contribuinte comete a mesma infração em um prazo de 05 (cinco) anos da anterior.</w:t>
      </w:r>
    </w:p>
    <w:p w:rsidR="0046139C" w:rsidRPr="00545ADA" w:rsidRDefault="0046139C" w:rsidP="0046139C">
      <w:pPr>
        <w:ind w:left="1418" w:firstLine="1417"/>
        <w:jc w:val="both"/>
        <w:rPr>
          <w:bCs/>
          <w:i/>
          <w:sz w:val="24"/>
          <w:szCs w:val="24"/>
        </w:rPr>
      </w:pPr>
    </w:p>
    <w:p w:rsidR="0046139C" w:rsidRPr="00545ADA" w:rsidRDefault="0046139C" w:rsidP="0046139C">
      <w:pPr>
        <w:ind w:left="1418"/>
        <w:jc w:val="both"/>
        <w:rPr>
          <w:bCs/>
          <w:i/>
          <w:sz w:val="24"/>
          <w:szCs w:val="24"/>
        </w:rPr>
      </w:pPr>
      <w:r w:rsidRPr="00545ADA">
        <w:rPr>
          <w:bCs/>
          <w:i/>
          <w:sz w:val="24"/>
          <w:szCs w:val="24"/>
        </w:rPr>
        <w:t>§2</w:t>
      </w:r>
      <w:r w:rsidRPr="00545ADA">
        <w:rPr>
          <w:bCs/>
          <w:i/>
          <w:sz w:val="24"/>
          <w:szCs w:val="24"/>
          <w:vertAlign w:val="superscript"/>
        </w:rPr>
        <w:t xml:space="preserve">o </w:t>
      </w:r>
      <w:r w:rsidRPr="00545ADA">
        <w:rPr>
          <w:bCs/>
          <w:i/>
          <w:sz w:val="24"/>
          <w:szCs w:val="24"/>
        </w:rPr>
        <w:t>Mediante intimação fiscal, o prazo para o contribuinte apresentar as informações ou documentos solicitados a Fiscalização Tributária é de 08 (oito) dias, podendo este prazo ser modificado pelo Agente Fiscal responsável pela ação e, dilatado em até 30 (trinta) dias, desde que fundamentado no próprio ato exarado.</w:t>
      </w:r>
    </w:p>
    <w:p w:rsidR="0046139C" w:rsidRPr="00545ADA" w:rsidRDefault="0046139C" w:rsidP="0046139C">
      <w:pPr>
        <w:ind w:left="1418" w:firstLine="1417"/>
        <w:jc w:val="both"/>
        <w:rPr>
          <w:bCs/>
          <w:i/>
          <w:sz w:val="24"/>
          <w:szCs w:val="24"/>
        </w:rPr>
      </w:pPr>
    </w:p>
    <w:p w:rsidR="0046139C" w:rsidRPr="00545ADA" w:rsidRDefault="0046139C" w:rsidP="0046139C">
      <w:pPr>
        <w:ind w:left="1418"/>
        <w:jc w:val="both"/>
        <w:rPr>
          <w:bCs/>
          <w:i/>
          <w:sz w:val="24"/>
          <w:szCs w:val="24"/>
        </w:rPr>
      </w:pPr>
      <w:r w:rsidRPr="00545ADA">
        <w:rPr>
          <w:bCs/>
          <w:i/>
          <w:sz w:val="24"/>
          <w:szCs w:val="24"/>
        </w:rPr>
        <w:t>§3</w:t>
      </w:r>
      <w:r w:rsidRPr="00545ADA">
        <w:rPr>
          <w:bCs/>
          <w:i/>
          <w:sz w:val="24"/>
          <w:szCs w:val="24"/>
          <w:vertAlign w:val="superscript"/>
        </w:rPr>
        <w:t>o</w:t>
      </w:r>
      <w:r w:rsidRPr="00545ADA">
        <w:rPr>
          <w:bCs/>
          <w:i/>
          <w:sz w:val="24"/>
          <w:szCs w:val="24"/>
        </w:rPr>
        <w:t xml:space="preserve"> No caso da não apresentação dos documentos ou informações ao Fisco Municipal no prazo concedido, o agente fiscal responsável pela ação deve aplicar a penalidade prevista, e conceder novo prazo para a regularização. Em caso de não cumprimento deste novo prazo, nova penalidade com o agravante previsto no § 1º deste artigo deve ser aplicada e concedido novo e igual prazo, duplicando a penalidade a cada prazo descumprido.</w:t>
      </w:r>
    </w:p>
    <w:p w:rsidR="0046139C" w:rsidRPr="00545ADA" w:rsidRDefault="0046139C" w:rsidP="0046139C">
      <w:pPr>
        <w:ind w:left="1418" w:firstLine="1417"/>
        <w:jc w:val="both"/>
        <w:rPr>
          <w:bCs/>
          <w:i/>
          <w:sz w:val="24"/>
          <w:szCs w:val="24"/>
        </w:rPr>
      </w:pPr>
    </w:p>
    <w:p w:rsidR="0046139C" w:rsidRPr="00545ADA" w:rsidRDefault="0046139C" w:rsidP="0046139C">
      <w:pPr>
        <w:ind w:left="1418"/>
        <w:jc w:val="both"/>
        <w:rPr>
          <w:bCs/>
          <w:sz w:val="24"/>
          <w:szCs w:val="24"/>
        </w:rPr>
      </w:pPr>
      <w:r w:rsidRPr="00545ADA">
        <w:rPr>
          <w:bCs/>
          <w:i/>
          <w:sz w:val="24"/>
          <w:szCs w:val="24"/>
        </w:rPr>
        <w:t>§4</w:t>
      </w:r>
      <w:r w:rsidRPr="00545ADA">
        <w:rPr>
          <w:bCs/>
          <w:i/>
          <w:sz w:val="24"/>
          <w:szCs w:val="24"/>
          <w:vertAlign w:val="superscript"/>
        </w:rPr>
        <w:t>o</w:t>
      </w:r>
      <w:r w:rsidRPr="00545ADA">
        <w:rPr>
          <w:bCs/>
          <w:i/>
          <w:sz w:val="24"/>
          <w:szCs w:val="24"/>
        </w:rPr>
        <w:t xml:space="preserve"> Em caso de descumprimento reiterado da intimação fiscal por 03 (três) vezes, cuja penalidade pecuniária prevista no § 1º., deste artigo tenha sido aplicado, a Fazenda Pública Municipal deve aplicar nova penalidade e provocar a Procuradoria Jurídica do Município, que deve ingressar em até 30 (trinta) dias, com a ação própria na esfera judicial, para que o contribuinte seja compelido a apresentação dos documentos ou informações solicitadas pelo Fisco </w:t>
      </w:r>
      <w:proofErr w:type="gramStart"/>
      <w:r w:rsidRPr="00545ADA">
        <w:rPr>
          <w:bCs/>
          <w:i/>
          <w:sz w:val="24"/>
          <w:szCs w:val="24"/>
        </w:rPr>
        <w:t>Municipal.”</w:t>
      </w:r>
      <w:proofErr w:type="gramEnd"/>
    </w:p>
    <w:p w:rsidR="0046139C" w:rsidRPr="00545ADA" w:rsidRDefault="0046139C" w:rsidP="0046139C">
      <w:pPr>
        <w:ind w:firstLine="1417"/>
        <w:jc w:val="both"/>
        <w:rPr>
          <w:bCs/>
          <w:sz w:val="24"/>
          <w:szCs w:val="24"/>
        </w:rPr>
      </w:pPr>
    </w:p>
    <w:p w:rsidR="0046139C" w:rsidRPr="00545ADA" w:rsidRDefault="0046139C" w:rsidP="0046139C">
      <w:pPr>
        <w:ind w:firstLine="1417"/>
        <w:jc w:val="both"/>
        <w:rPr>
          <w:bCs/>
          <w:sz w:val="24"/>
          <w:szCs w:val="24"/>
        </w:rPr>
      </w:pPr>
      <w:r w:rsidRPr="00545ADA">
        <w:rPr>
          <w:b/>
          <w:bCs/>
          <w:sz w:val="24"/>
          <w:szCs w:val="24"/>
        </w:rPr>
        <w:t>Art. 3</w:t>
      </w:r>
      <w:r w:rsidRPr="00545ADA">
        <w:rPr>
          <w:b/>
          <w:bCs/>
          <w:sz w:val="24"/>
          <w:szCs w:val="24"/>
          <w:vertAlign w:val="superscript"/>
        </w:rPr>
        <w:t>o</w:t>
      </w:r>
      <w:r w:rsidRPr="00545ADA">
        <w:rPr>
          <w:bCs/>
          <w:sz w:val="24"/>
          <w:szCs w:val="24"/>
        </w:rPr>
        <w:t xml:space="preserve"> Os subitens e suas respectivas alíquotas, da lista de serviços instituídos pela LC 001/02, alteradas pela LC 002/2003 e 003/2003, no seu Anexo II, passam a viger com a seguinte modificação na redação: </w:t>
      </w:r>
    </w:p>
    <w:p w:rsidR="0046139C" w:rsidRPr="00545ADA" w:rsidRDefault="0046139C" w:rsidP="0046139C">
      <w:pPr>
        <w:ind w:firstLine="1417"/>
        <w:jc w:val="both"/>
        <w:rPr>
          <w:bCs/>
          <w:sz w:val="24"/>
          <w:szCs w:val="24"/>
        </w:rPr>
      </w:pPr>
    </w:p>
    <w:p w:rsidR="0046139C" w:rsidRPr="00545ADA" w:rsidRDefault="0046139C" w:rsidP="0046139C">
      <w:pPr>
        <w:ind w:firstLine="1417"/>
        <w:jc w:val="both"/>
        <w:rPr>
          <w:sz w:val="24"/>
          <w:szCs w:val="24"/>
        </w:rPr>
      </w:pPr>
      <w:r w:rsidRPr="00545ADA">
        <w:rPr>
          <w:sz w:val="24"/>
          <w:szCs w:val="24"/>
        </w:rPr>
        <w:t xml:space="preserve">I – O subitens que trata o </w:t>
      </w:r>
      <w:r w:rsidRPr="00545ADA">
        <w:rPr>
          <w:i/>
          <w:sz w:val="24"/>
          <w:szCs w:val="24"/>
        </w:rPr>
        <w:t>caput</w:t>
      </w:r>
      <w:r w:rsidRPr="00545ADA">
        <w:rPr>
          <w:sz w:val="24"/>
          <w:szCs w:val="24"/>
        </w:rPr>
        <w:t xml:space="preserve"> deste artigo passa a viger:</w:t>
      </w:r>
    </w:p>
    <w:p w:rsidR="0046139C" w:rsidRPr="00545ADA" w:rsidRDefault="0046139C" w:rsidP="0046139C">
      <w:pPr>
        <w:ind w:firstLine="1417"/>
        <w:jc w:val="both"/>
        <w:rPr>
          <w:bCs/>
          <w:sz w:val="24"/>
          <w:szCs w:val="24"/>
        </w:rPr>
      </w:pPr>
    </w:p>
    <w:p w:rsidR="0046139C" w:rsidRPr="00545ADA" w:rsidRDefault="0046139C" w:rsidP="0046139C">
      <w:pPr>
        <w:ind w:firstLine="1417"/>
        <w:jc w:val="both"/>
        <w:rPr>
          <w:bCs/>
          <w:sz w:val="24"/>
          <w:szCs w:val="24"/>
        </w:rPr>
      </w:pPr>
      <w:r w:rsidRPr="00545ADA">
        <w:rPr>
          <w:bCs/>
          <w:sz w:val="24"/>
          <w:szCs w:val="24"/>
        </w:rPr>
        <w:t xml:space="preserve">          “...</w:t>
      </w:r>
    </w:p>
    <w:p w:rsidR="0046139C" w:rsidRPr="00545ADA" w:rsidRDefault="0046139C" w:rsidP="0046139C">
      <w:pPr>
        <w:ind w:firstLine="1417"/>
        <w:jc w:val="both"/>
        <w:rPr>
          <w:bCs/>
          <w:i/>
          <w:sz w:val="24"/>
          <w:szCs w:val="24"/>
        </w:rPr>
      </w:pPr>
    </w:p>
    <w:p w:rsidR="0046139C" w:rsidRPr="00545ADA" w:rsidRDefault="0046139C" w:rsidP="0046139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124" w:firstLine="3"/>
        <w:jc w:val="both"/>
        <w:rPr>
          <w:i/>
          <w:sz w:val="24"/>
          <w:szCs w:val="24"/>
        </w:rPr>
      </w:pPr>
      <w:r w:rsidRPr="00545ADA">
        <w:rPr>
          <w:bCs/>
          <w:i/>
          <w:sz w:val="24"/>
          <w:szCs w:val="24"/>
        </w:rPr>
        <w:t xml:space="preserve">Código   –     Serviço   –    Alíquota </w:t>
      </w:r>
    </w:p>
    <w:p w:rsidR="0046139C" w:rsidRPr="00545ADA" w:rsidRDefault="0046139C" w:rsidP="0046139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124" w:firstLine="3"/>
        <w:jc w:val="both"/>
        <w:rPr>
          <w:i/>
          <w:sz w:val="24"/>
          <w:szCs w:val="24"/>
        </w:rPr>
      </w:pPr>
      <w:r w:rsidRPr="00545ADA">
        <w:rPr>
          <w:i/>
          <w:sz w:val="24"/>
          <w:szCs w:val="24"/>
        </w:rPr>
        <w:t>2 – Serviços de registros públicos, cartorários e notariais. – 5%</w:t>
      </w:r>
    </w:p>
    <w:p w:rsidR="0046139C" w:rsidRPr="00545ADA" w:rsidRDefault="0046139C" w:rsidP="0046139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124" w:firstLine="3"/>
        <w:jc w:val="both"/>
        <w:rPr>
          <w:i/>
          <w:sz w:val="24"/>
          <w:szCs w:val="24"/>
        </w:rPr>
      </w:pPr>
      <w:r w:rsidRPr="00545ADA">
        <w:rPr>
          <w:i/>
          <w:sz w:val="24"/>
          <w:szCs w:val="24"/>
        </w:rPr>
        <w:t>21.01 - Serviços de registros públicos, cartorários e notariais. – 5%</w:t>
      </w:r>
    </w:p>
    <w:p w:rsidR="0046139C" w:rsidRPr="00545ADA" w:rsidRDefault="0046139C" w:rsidP="0046139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124" w:firstLine="1417"/>
        <w:jc w:val="both"/>
        <w:rPr>
          <w:i/>
          <w:sz w:val="24"/>
          <w:szCs w:val="24"/>
        </w:rPr>
      </w:pPr>
      <w:r w:rsidRPr="00545ADA">
        <w:rPr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6139C" w:rsidRPr="00545ADA" w:rsidRDefault="0046139C" w:rsidP="0046139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124" w:firstLine="1417"/>
        <w:jc w:val="both"/>
        <w:rPr>
          <w:bCs/>
          <w:i/>
          <w:sz w:val="24"/>
          <w:szCs w:val="24"/>
        </w:rPr>
      </w:pPr>
      <w:r w:rsidRPr="00545ADA">
        <w:rPr>
          <w:i/>
          <w:sz w:val="24"/>
          <w:szCs w:val="24"/>
        </w:rPr>
        <w:t xml:space="preserve">                                                                              ...</w:t>
      </w:r>
      <w:r w:rsidRPr="00545ADA">
        <w:rPr>
          <w:bCs/>
          <w:i/>
          <w:sz w:val="24"/>
          <w:szCs w:val="24"/>
        </w:rPr>
        <w:t>”</w:t>
      </w:r>
    </w:p>
    <w:p w:rsidR="0046139C" w:rsidRPr="00545ADA" w:rsidRDefault="0046139C" w:rsidP="0046139C">
      <w:pPr>
        <w:ind w:left="1416" w:firstLine="1417"/>
        <w:jc w:val="both"/>
        <w:rPr>
          <w:bCs/>
          <w:i/>
          <w:sz w:val="24"/>
          <w:szCs w:val="24"/>
        </w:rPr>
      </w:pPr>
    </w:p>
    <w:p w:rsidR="0046139C" w:rsidRPr="00545ADA" w:rsidRDefault="0046139C" w:rsidP="0046139C">
      <w:pPr>
        <w:ind w:firstLine="1417"/>
        <w:jc w:val="both"/>
        <w:rPr>
          <w:bCs/>
          <w:sz w:val="24"/>
          <w:szCs w:val="24"/>
        </w:rPr>
      </w:pPr>
      <w:r w:rsidRPr="00545ADA">
        <w:rPr>
          <w:b/>
          <w:bCs/>
          <w:sz w:val="24"/>
          <w:szCs w:val="24"/>
        </w:rPr>
        <w:t xml:space="preserve">Parágrafo único. </w:t>
      </w:r>
      <w:r w:rsidRPr="00545ADA">
        <w:rPr>
          <w:bCs/>
          <w:sz w:val="24"/>
          <w:szCs w:val="24"/>
        </w:rPr>
        <w:t xml:space="preserve">As alíquotas constantes nos incisos do </w:t>
      </w:r>
      <w:r w:rsidRPr="00545ADA">
        <w:rPr>
          <w:bCs/>
          <w:i/>
          <w:sz w:val="24"/>
          <w:szCs w:val="24"/>
        </w:rPr>
        <w:t>caput</w:t>
      </w:r>
      <w:r w:rsidRPr="00545ADA">
        <w:rPr>
          <w:bCs/>
          <w:sz w:val="24"/>
          <w:szCs w:val="24"/>
        </w:rPr>
        <w:t xml:space="preserve"> deste artigo são aplicáveis sobre a base de cálculo, para a apuração do valor do ISSQN, na forma estabelecida na legislação tributária.</w:t>
      </w:r>
    </w:p>
    <w:p w:rsidR="0046139C" w:rsidRPr="00545ADA" w:rsidRDefault="0046139C" w:rsidP="0046139C">
      <w:pPr>
        <w:ind w:firstLine="1417"/>
        <w:jc w:val="both"/>
        <w:rPr>
          <w:bCs/>
          <w:sz w:val="24"/>
          <w:szCs w:val="24"/>
        </w:rPr>
      </w:pPr>
    </w:p>
    <w:p w:rsidR="0046139C" w:rsidRPr="00545ADA" w:rsidRDefault="0046139C" w:rsidP="0046139C">
      <w:pPr>
        <w:ind w:firstLine="1417"/>
        <w:jc w:val="both"/>
        <w:rPr>
          <w:b/>
          <w:sz w:val="24"/>
          <w:szCs w:val="24"/>
        </w:rPr>
      </w:pPr>
      <w:r w:rsidRPr="00545ADA">
        <w:rPr>
          <w:b/>
          <w:sz w:val="24"/>
          <w:szCs w:val="24"/>
        </w:rPr>
        <w:t xml:space="preserve">Art.4º </w:t>
      </w:r>
      <w:r w:rsidRPr="00545ADA">
        <w:rPr>
          <w:sz w:val="24"/>
          <w:szCs w:val="24"/>
        </w:rPr>
        <w:t>Considerando o disposto na legislação tributária municipal em relação ao índice de correção monetária aplicável em créditos municipais inadimplidos, de natureza tributária ou não, inclusive os inscritos em dívida ativa, e para a atualização da unidade fiscal municipal, em toda a sua aplicação, fica estabelecido o índice de correção monetária aplicável, que passa a ser utilizado o INPC/IBGE – Índice Nacional de Preços ao Consumidor divulgado pelo IBGE, inclusive, em substituição onde é prevista a aplicação de outros índices, como utilizado pelo Governo Federal.</w:t>
      </w:r>
    </w:p>
    <w:p w:rsidR="0046139C" w:rsidRPr="00545ADA" w:rsidRDefault="0046139C" w:rsidP="0046139C">
      <w:pPr>
        <w:ind w:firstLine="1417"/>
        <w:jc w:val="both"/>
        <w:rPr>
          <w:b/>
          <w:sz w:val="24"/>
          <w:szCs w:val="24"/>
        </w:rPr>
      </w:pPr>
    </w:p>
    <w:p w:rsidR="0046139C" w:rsidRPr="00545ADA" w:rsidRDefault="0046139C" w:rsidP="0046139C">
      <w:pPr>
        <w:ind w:firstLine="1417"/>
        <w:jc w:val="both"/>
        <w:rPr>
          <w:b/>
          <w:sz w:val="24"/>
          <w:szCs w:val="24"/>
        </w:rPr>
      </w:pPr>
      <w:r w:rsidRPr="00545ADA">
        <w:rPr>
          <w:b/>
          <w:sz w:val="24"/>
          <w:szCs w:val="24"/>
        </w:rPr>
        <w:t>§ 1º</w:t>
      </w:r>
      <w:r w:rsidRPr="00545ADA">
        <w:rPr>
          <w:sz w:val="24"/>
          <w:szCs w:val="24"/>
        </w:rPr>
        <w:t xml:space="preserve"> A aplicação do INPC - Índice Nacional de Preços ao Consumidor na correção monetária dos créditos municipais inadimplidos poderá retroagir para todos os créditos pendentes de extinção, na forma do artigo 106 da lei </w:t>
      </w:r>
      <w:proofErr w:type="gramStart"/>
      <w:r w:rsidRPr="00545ADA">
        <w:rPr>
          <w:sz w:val="24"/>
          <w:szCs w:val="24"/>
        </w:rPr>
        <w:t>federal No</w:t>
      </w:r>
      <w:proofErr w:type="gramEnd"/>
      <w:r w:rsidRPr="00545ADA">
        <w:rPr>
          <w:sz w:val="24"/>
          <w:szCs w:val="24"/>
        </w:rPr>
        <w:t>. 5.172 de 25/10/1966, que institui o Código Tributário Nacional, se confortar em penalidade menos severa, no caso de benefício aos contribuintes.</w:t>
      </w:r>
    </w:p>
    <w:p w:rsidR="0046139C" w:rsidRPr="00545ADA" w:rsidRDefault="0046139C" w:rsidP="0046139C">
      <w:pPr>
        <w:ind w:firstLine="1417"/>
        <w:jc w:val="both"/>
        <w:rPr>
          <w:b/>
          <w:sz w:val="24"/>
          <w:szCs w:val="24"/>
        </w:rPr>
      </w:pPr>
      <w:r w:rsidRPr="00545ADA">
        <w:rPr>
          <w:b/>
          <w:sz w:val="24"/>
          <w:szCs w:val="24"/>
        </w:rPr>
        <w:tab/>
      </w:r>
    </w:p>
    <w:p w:rsidR="0046139C" w:rsidRPr="00545ADA" w:rsidRDefault="0046139C" w:rsidP="0046139C">
      <w:pPr>
        <w:ind w:firstLine="1417"/>
        <w:jc w:val="both"/>
        <w:rPr>
          <w:b/>
          <w:sz w:val="24"/>
          <w:szCs w:val="24"/>
        </w:rPr>
      </w:pPr>
      <w:r w:rsidRPr="00545ADA">
        <w:rPr>
          <w:b/>
          <w:sz w:val="24"/>
          <w:szCs w:val="24"/>
        </w:rPr>
        <w:t>§ 2º</w:t>
      </w:r>
      <w:r w:rsidRPr="00545ADA">
        <w:rPr>
          <w:sz w:val="24"/>
          <w:szCs w:val="24"/>
        </w:rPr>
        <w:t xml:space="preserve"> A apuração do índice de correção monetária a ser utilizado para atualização dos créditos inadimplidos se dará pelo índice acumulado do vencimento até o mês anterior, de que trata o </w:t>
      </w:r>
      <w:r w:rsidRPr="00545ADA">
        <w:rPr>
          <w:i/>
          <w:sz w:val="24"/>
          <w:szCs w:val="24"/>
        </w:rPr>
        <w:t>caput</w:t>
      </w:r>
      <w:r w:rsidRPr="00545ADA">
        <w:rPr>
          <w:sz w:val="24"/>
          <w:szCs w:val="24"/>
        </w:rPr>
        <w:t xml:space="preserve"> deste artigo, apurado do vencimento de cada parcela inadimplente, conforme o caso, até a data do efetivo pagamento.</w:t>
      </w:r>
    </w:p>
    <w:p w:rsidR="0046139C" w:rsidRPr="00545ADA" w:rsidRDefault="0046139C" w:rsidP="0046139C">
      <w:pPr>
        <w:ind w:firstLine="1417"/>
        <w:jc w:val="both"/>
        <w:rPr>
          <w:b/>
          <w:sz w:val="24"/>
          <w:szCs w:val="24"/>
        </w:rPr>
      </w:pPr>
      <w:r w:rsidRPr="00545ADA">
        <w:rPr>
          <w:b/>
          <w:sz w:val="24"/>
          <w:szCs w:val="24"/>
        </w:rPr>
        <w:tab/>
      </w:r>
    </w:p>
    <w:p w:rsidR="0046139C" w:rsidRPr="00545ADA" w:rsidRDefault="0046139C" w:rsidP="0046139C">
      <w:pPr>
        <w:ind w:firstLine="1417"/>
        <w:jc w:val="both"/>
        <w:rPr>
          <w:sz w:val="24"/>
          <w:szCs w:val="24"/>
        </w:rPr>
      </w:pPr>
      <w:r w:rsidRPr="00545ADA">
        <w:rPr>
          <w:b/>
          <w:sz w:val="24"/>
          <w:szCs w:val="24"/>
        </w:rPr>
        <w:t>Art. 5º</w:t>
      </w:r>
      <w:r w:rsidRPr="00545ADA">
        <w:rPr>
          <w:sz w:val="24"/>
          <w:szCs w:val="24"/>
        </w:rPr>
        <w:t xml:space="preserve"> A inscrição em dívida ativa do crédito municipal inadimplido poderá ser promovida imediatamente após o vencimento dos créditos, devendo ser </w:t>
      </w:r>
      <w:r w:rsidRPr="00545ADA">
        <w:rPr>
          <w:sz w:val="24"/>
          <w:szCs w:val="24"/>
        </w:rPr>
        <w:lastRenderedPageBreak/>
        <w:t>obrigatoriamente inscrita, até o 2</w:t>
      </w:r>
      <w:r w:rsidRPr="00545ADA">
        <w:rPr>
          <w:sz w:val="24"/>
          <w:szCs w:val="24"/>
          <w:vertAlign w:val="superscript"/>
        </w:rPr>
        <w:t>o</w:t>
      </w:r>
      <w:r w:rsidRPr="00545ADA">
        <w:rPr>
          <w:sz w:val="24"/>
          <w:szCs w:val="24"/>
        </w:rPr>
        <w:t xml:space="preserve"> (segundo) dia útil do exercício seguinte e, promovida a sua execução fiscal, em até 180 (cento e oitenta) dias após a sua inscrição, nos termos da Lei de Execuções Fiscais e da legislação municipal vigente.</w:t>
      </w:r>
    </w:p>
    <w:p w:rsidR="0046139C" w:rsidRPr="00545ADA" w:rsidRDefault="0046139C" w:rsidP="0046139C">
      <w:pPr>
        <w:ind w:firstLine="1417"/>
        <w:jc w:val="both"/>
        <w:rPr>
          <w:sz w:val="24"/>
          <w:szCs w:val="24"/>
        </w:rPr>
      </w:pPr>
    </w:p>
    <w:p w:rsidR="0046139C" w:rsidRPr="00545ADA" w:rsidRDefault="0046139C" w:rsidP="0046139C">
      <w:pPr>
        <w:ind w:firstLine="1417"/>
        <w:jc w:val="both"/>
        <w:rPr>
          <w:sz w:val="24"/>
          <w:szCs w:val="24"/>
        </w:rPr>
      </w:pPr>
      <w:r w:rsidRPr="00545ADA">
        <w:rPr>
          <w:b/>
          <w:sz w:val="24"/>
          <w:szCs w:val="24"/>
        </w:rPr>
        <w:t>Art. 6º</w:t>
      </w:r>
      <w:r w:rsidRPr="00545ADA">
        <w:rPr>
          <w:sz w:val="24"/>
          <w:szCs w:val="24"/>
        </w:rPr>
        <w:t xml:space="preserve"> Esta Lei entra em vigor em 01 de janeiro de 2013, com seus efeitos sobre as obrigações principais que impliquem majoração, ocorrendo a partir de 90 (noventa) dias após a sua publicação.</w:t>
      </w:r>
    </w:p>
    <w:p w:rsidR="0046139C" w:rsidRPr="00545ADA" w:rsidRDefault="0046139C" w:rsidP="0046139C">
      <w:pPr>
        <w:ind w:firstLine="1417"/>
        <w:jc w:val="both"/>
        <w:rPr>
          <w:sz w:val="24"/>
          <w:szCs w:val="24"/>
        </w:rPr>
      </w:pPr>
    </w:p>
    <w:p w:rsidR="0046139C" w:rsidRPr="00545ADA" w:rsidRDefault="0046139C" w:rsidP="0046139C">
      <w:pPr>
        <w:ind w:firstLine="1418"/>
        <w:jc w:val="both"/>
        <w:rPr>
          <w:sz w:val="24"/>
          <w:szCs w:val="24"/>
        </w:rPr>
      </w:pPr>
      <w:r w:rsidRPr="00545ADA">
        <w:rPr>
          <w:sz w:val="24"/>
          <w:szCs w:val="24"/>
        </w:rPr>
        <w:t>Gabinete do Prefeito em Formiga, 28 de dezembro de 2012.</w:t>
      </w:r>
    </w:p>
    <w:p w:rsidR="0046139C" w:rsidRPr="00545ADA" w:rsidRDefault="0046139C" w:rsidP="0046139C">
      <w:pPr>
        <w:pStyle w:val="Corpodetexto32"/>
        <w:spacing w:line="100" w:lineRule="atLeast"/>
        <w:rPr>
          <w:rFonts w:ascii="Times New Roman" w:hAnsi="Times New Roman"/>
          <w:szCs w:val="24"/>
        </w:rPr>
      </w:pPr>
    </w:p>
    <w:p w:rsidR="0046139C" w:rsidRPr="00545ADA" w:rsidRDefault="0046139C" w:rsidP="0046139C">
      <w:pPr>
        <w:pStyle w:val="Corpodetexto32"/>
        <w:spacing w:line="100" w:lineRule="atLeast"/>
        <w:rPr>
          <w:rFonts w:ascii="Times New Roman" w:hAnsi="Times New Roman"/>
          <w:szCs w:val="24"/>
        </w:rPr>
      </w:pPr>
    </w:p>
    <w:p w:rsidR="0046139C" w:rsidRPr="00545ADA" w:rsidRDefault="0046139C" w:rsidP="0046139C">
      <w:pPr>
        <w:pStyle w:val="Corpodetexto32"/>
        <w:spacing w:line="100" w:lineRule="atLeast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46139C" w:rsidRPr="00545ADA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46139C" w:rsidRPr="00545ADA" w:rsidRDefault="0046139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545ADA">
              <w:rPr>
                <w:b/>
                <w:i/>
                <w:sz w:val="24"/>
                <w:szCs w:val="24"/>
              </w:rPr>
              <w:t>ALUÍSIO VELOSO DA CUNHA</w:t>
            </w:r>
          </w:p>
          <w:p w:rsidR="0046139C" w:rsidRPr="00545ADA" w:rsidRDefault="0046139C" w:rsidP="000A1074">
            <w:pPr>
              <w:jc w:val="center"/>
              <w:rPr>
                <w:sz w:val="24"/>
                <w:szCs w:val="24"/>
              </w:rPr>
            </w:pPr>
            <w:r w:rsidRPr="00545ADA">
              <w:rPr>
                <w:sz w:val="24"/>
                <w:szCs w:val="24"/>
              </w:rPr>
              <w:t>Prefeito</w:t>
            </w:r>
            <w:r>
              <w:rPr>
                <w:sz w:val="24"/>
                <w:szCs w:val="24"/>
              </w:rPr>
              <w:t xml:space="preserve"> </w:t>
            </w:r>
            <w:r w:rsidRPr="00545ADA">
              <w:rPr>
                <w:sz w:val="24"/>
                <w:szCs w:val="24"/>
              </w:rPr>
              <w:t>Municipal</w:t>
            </w:r>
          </w:p>
        </w:tc>
        <w:tc>
          <w:tcPr>
            <w:tcW w:w="4802" w:type="dxa"/>
            <w:shd w:val="clear" w:color="auto" w:fill="auto"/>
          </w:tcPr>
          <w:p w:rsidR="0046139C" w:rsidRPr="00545ADA" w:rsidRDefault="0046139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545ADA">
              <w:rPr>
                <w:b/>
                <w:i/>
                <w:sz w:val="24"/>
                <w:szCs w:val="24"/>
              </w:rPr>
              <w:t>RODRIGO MENEZES VIANA</w:t>
            </w:r>
          </w:p>
          <w:p w:rsidR="0046139C" w:rsidRPr="00545ADA" w:rsidRDefault="0046139C" w:rsidP="000A1074">
            <w:pPr>
              <w:jc w:val="center"/>
              <w:rPr>
                <w:sz w:val="24"/>
                <w:szCs w:val="24"/>
              </w:rPr>
            </w:pPr>
            <w:r w:rsidRPr="00545ADA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46139C" w:rsidRPr="00545ADA" w:rsidRDefault="0046139C" w:rsidP="0046139C">
      <w:pPr>
        <w:ind w:firstLine="2835"/>
        <w:jc w:val="both"/>
        <w:rPr>
          <w:color w:val="000000"/>
          <w:sz w:val="24"/>
          <w:szCs w:val="24"/>
        </w:rPr>
      </w:pPr>
    </w:p>
    <w:p w:rsidR="0046139C" w:rsidRPr="00545ADA" w:rsidRDefault="0046139C" w:rsidP="0046139C">
      <w:pPr>
        <w:ind w:firstLine="2835"/>
        <w:jc w:val="both"/>
        <w:rPr>
          <w:color w:val="000000"/>
          <w:sz w:val="24"/>
          <w:szCs w:val="24"/>
        </w:rPr>
      </w:pPr>
    </w:p>
    <w:p w:rsidR="0046139C" w:rsidRPr="00545ADA" w:rsidRDefault="0046139C" w:rsidP="0046139C">
      <w:pPr>
        <w:jc w:val="center"/>
        <w:rPr>
          <w:i/>
          <w:color w:val="000000"/>
          <w:sz w:val="24"/>
          <w:szCs w:val="24"/>
        </w:rPr>
      </w:pPr>
      <w:r w:rsidRPr="00545ADA">
        <w:rPr>
          <w:i/>
          <w:color w:val="000000"/>
          <w:sz w:val="24"/>
          <w:szCs w:val="24"/>
        </w:rPr>
        <w:t>Originária do Projeto de Lei Complementar nº 95/2012, de autoria do Vereador José Gilmar Furtado – Mazinho.</w:t>
      </w:r>
    </w:p>
    <w:p w:rsidR="0030374B" w:rsidRDefault="0046139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9C"/>
    <w:rsid w:val="000A2C50"/>
    <w:rsid w:val="00147E9B"/>
    <w:rsid w:val="0046139C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E8534-4F95-4FD6-BEE1-7F3697F3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39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46139C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2018-08-30T20:55:00Z</dcterms:created>
  <dcterms:modified xsi:type="dcterms:W3CDTF">2018-08-30T20:55:00Z</dcterms:modified>
</cp:coreProperties>
</file>