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6A" w:rsidRPr="00F071C3" w:rsidRDefault="0083136A" w:rsidP="0083136A">
      <w:pPr>
        <w:spacing w:line="283" w:lineRule="auto"/>
        <w:jc w:val="center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LEI COMPLEMENTAR Nº 98,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JULHO DE 2012</w:t>
      </w:r>
    </w:p>
    <w:p w:rsidR="0083136A" w:rsidRPr="00C35D5D" w:rsidRDefault="0083136A" w:rsidP="0083136A">
      <w:pPr>
        <w:spacing w:line="283" w:lineRule="auto"/>
        <w:rPr>
          <w:b/>
          <w:color w:val="000000"/>
          <w:sz w:val="24"/>
          <w:szCs w:val="24"/>
        </w:rPr>
      </w:pPr>
    </w:p>
    <w:p w:rsidR="0083136A" w:rsidRPr="00C35D5D" w:rsidRDefault="0083136A" w:rsidP="0083136A">
      <w:pPr>
        <w:ind w:left="4395"/>
        <w:jc w:val="both"/>
        <w:rPr>
          <w:sz w:val="24"/>
          <w:szCs w:val="24"/>
        </w:rPr>
      </w:pPr>
      <w:r w:rsidRPr="00C35D5D">
        <w:rPr>
          <w:sz w:val="24"/>
          <w:szCs w:val="24"/>
        </w:rPr>
        <w:t>Altera a redação de dispositivos da Lei Complementar nº 37, de 30 de novembro de 2010, e suas alterações e dá outras providências.</w:t>
      </w:r>
    </w:p>
    <w:p w:rsidR="0083136A" w:rsidRPr="00C35D5D" w:rsidRDefault="0083136A" w:rsidP="0083136A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83136A" w:rsidRPr="00C35D5D" w:rsidRDefault="0083136A" w:rsidP="0083136A">
      <w:pPr>
        <w:ind w:firstLine="1134"/>
        <w:jc w:val="both"/>
        <w:rPr>
          <w:sz w:val="24"/>
          <w:szCs w:val="24"/>
        </w:rPr>
      </w:pPr>
      <w:r w:rsidRPr="00C35D5D">
        <w:rPr>
          <w:sz w:val="24"/>
          <w:szCs w:val="24"/>
        </w:rPr>
        <w:t>O POVO DO MUNICÍPIO DE FORMIGA, POR SEUS REPRESENTANTES, APROVA E EU SANCIONO A SEGUINTE LEI COMPLEMENTAR:</w:t>
      </w:r>
    </w:p>
    <w:p w:rsidR="0083136A" w:rsidRPr="00C35D5D" w:rsidRDefault="0083136A" w:rsidP="0083136A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color w:val="222222"/>
          <w:sz w:val="24"/>
          <w:szCs w:val="24"/>
        </w:rPr>
        <w:t>  </w:t>
      </w:r>
      <w:r w:rsidRPr="00C35D5D">
        <w:rPr>
          <w:b/>
          <w:bCs/>
          <w:color w:val="222222"/>
          <w:sz w:val="24"/>
          <w:szCs w:val="24"/>
        </w:rPr>
        <w:t>Art. 1º </w:t>
      </w:r>
      <w:r w:rsidRPr="00C35D5D">
        <w:rPr>
          <w:color w:val="222222"/>
          <w:sz w:val="24"/>
          <w:szCs w:val="24"/>
        </w:rPr>
        <w:t>O Item XXI do Art. 42 da Lei Complementar N°. 37, de 30 de novembro de 2010, e suas alterações, passa a viger com a seguinte redação: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“Art. 42 </w:t>
      </w:r>
      <w:r w:rsidRPr="00C35D5D">
        <w:rPr>
          <w:i/>
          <w:iCs/>
          <w:color w:val="222222"/>
          <w:sz w:val="24"/>
          <w:szCs w:val="24"/>
        </w:rPr>
        <w:t>Na</w:t>
      </w:r>
      <w:r w:rsidRPr="00C35D5D">
        <w:rPr>
          <w:b/>
          <w:bCs/>
          <w:i/>
          <w:iCs/>
          <w:color w:val="222222"/>
          <w:sz w:val="24"/>
          <w:szCs w:val="24"/>
        </w:rPr>
        <w:t> </w:t>
      </w:r>
      <w:r w:rsidRPr="00C35D5D">
        <w:rPr>
          <w:i/>
          <w:iCs/>
          <w:color w:val="222222"/>
          <w:sz w:val="24"/>
          <w:szCs w:val="24"/>
        </w:rPr>
        <w:t>Secretaria Municipal de Desenvolvimento Humano (SMDH)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i/>
          <w:iCs/>
          <w:color w:val="222222"/>
          <w:sz w:val="24"/>
          <w:szCs w:val="24"/>
        </w:rPr>
        <w:t> 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772"/>
        <w:gridCol w:w="1091"/>
        <w:gridCol w:w="1227"/>
        <w:gridCol w:w="1228"/>
      </w:tblGrid>
      <w:tr w:rsidR="0083136A" w:rsidRPr="00C35D5D" w:rsidTr="000A1074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b/>
                <w:bCs/>
                <w:i/>
                <w:iCs/>
                <w:sz w:val="24"/>
                <w:szCs w:val="24"/>
              </w:rPr>
              <w:t>Item</w:t>
            </w:r>
          </w:p>
        </w:tc>
        <w:tc>
          <w:tcPr>
            <w:tcW w:w="4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b/>
                <w:bCs/>
                <w:i/>
                <w:iCs/>
                <w:sz w:val="24"/>
                <w:szCs w:val="24"/>
              </w:rPr>
              <w:t>Denominação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b/>
                <w:bCs/>
                <w:i/>
                <w:iCs/>
                <w:sz w:val="24"/>
                <w:szCs w:val="24"/>
              </w:rPr>
              <w:t>Nº de cargos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b/>
                <w:bCs/>
                <w:i/>
                <w:iCs/>
                <w:sz w:val="24"/>
                <w:szCs w:val="24"/>
              </w:rPr>
              <w:t xml:space="preserve">Forma de </w:t>
            </w:r>
            <w:proofErr w:type="spellStart"/>
            <w:r w:rsidRPr="00C35D5D">
              <w:rPr>
                <w:b/>
                <w:bCs/>
                <w:i/>
                <w:iCs/>
                <w:sz w:val="24"/>
                <w:szCs w:val="24"/>
              </w:rPr>
              <w:t>Recrut</w:t>
            </w:r>
            <w:proofErr w:type="spellEnd"/>
            <w:r w:rsidRPr="00C35D5D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b/>
                <w:bCs/>
                <w:i/>
                <w:iCs/>
                <w:sz w:val="24"/>
                <w:szCs w:val="24"/>
              </w:rPr>
              <w:t>Símbolo</w:t>
            </w:r>
          </w:p>
        </w:tc>
      </w:tr>
      <w:tr w:rsidR="0083136A" w:rsidRPr="00C35D5D" w:rsidTr="000A1074">
        <w:trPr>
          <w:jc w:val="center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XXI</w:t>
            </w:r>
          </w:p>
        </w:tc>
        <w:tc>
          <w:tcPr>
            <w:tcW w:w="4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Coordenador de Divisão de Documentação Contábil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Amplo</w:t>
            </w:r>
          </w:p>
        </w:tc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CC3”</w:t>
            </w:r>
          </w:p>
        </w:tc>
      </w:tr>
    </w:tbl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b/>
          <w:bCs/>
          <w:color w:val="222222"/>
          <w:sz w:val="24"/>
          <w:szCs w:val="24"/>
        </w:rPr>
        <w:t>Art. 2°.</w:t>
      </w:r>
      <w:r w:rsidRPr="00C35D5D">
        <w:rPr>
          <w:color w:val="222222"/>
          <w:sz w:val="24"/>
          <w:szCs w:val="24"/>
        </w:rPr>
        <w:t> O Anexo II da Lei Complementar N°. 37, de 30 de novembro de 2010, e suas alterações, passa a viger com a seguinte redação: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color w:val="222222"/>
          <w:sz w:val="24"/>
          <w:szCs w:val="24"/>
        </w:rPr>
        <w:t> </w:t>
      </w:r>
    </w:p>
    <w:tbl>
      <w:tblPr>
        <w:tblW w:w="922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6"/>
        <w:gridCol w:w="1168"/>
        <w:gridCol w:w="1352"/>
        <w:gridCol w:w="1486"/>
        <w:gridCol w:w="1002"/>
      </w:tblGrid>
      <w:tr w:rsidR="0083136A" w:rsidRPr="00C35D5D" w:rsidTr="000A1074">
        <w:trPr>
          <w:trHeight w:val="300"/>
          <w:jc w:val="center"/>
        </w:trPr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color w:val="222222"/>
                <w:sz w:val="24"/>
                <w:szCs w:val="24"/>
              </w:rPr>
              <w:t> </w:t>
            </w:r>
          </w:p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b/>
                <w:bCs/>
                <w:i/>
                <w:iCs/>
                <w:sz w:val="24"/>
                <w:szCs w:val="24"/>
              </w:rPr>
              <w:t>“ANEXO II</w:t>
            </w:r>
          </w:p>
        </w:tc>
      </w:tr>
      <w:tr w:rsidR="0083136A" w:rsidRPr="00C35D5D" w:rsidTr="000A1074">
        <w:trPr>
          <w:trHeight w:val="270"/>
          <w:jc w:val="center"/>
        </w:trPr>
        <w:tc>
          <w:tcPr>
            <w:tcW w:w="92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55"/>
          <w:jc w:val="center"/>
        </w:trPr>
        <w:tc>
          <w:tcPr>
            <w:tcW w:w="92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300"/>
          <w:jc w:val="center"/>
        </w:trPr>
        <w:tc>
          <w:tcPr>
            <w:tcW w:w="92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b/>
                <w:bCs/>
                <w:i/>
                <w:iCs/>
                <w:sz w:val="24"/>
                <w:szCs w:val="24"/>
              </w:rPr>
              <w:t>CARGOS COMISSIONADOS</w:t>
            </w:r>
          </w:p>
        </w:tc>
      </w:tr>
      <w:tr w:rsidR="0083136A" w:rsidRPr="00C35D5D" w:rsidTr="000A1074">
        <w:trPr>
          <w:trHeight w:val="75"/>
          <w:jc w:val="center"/>
        </w:trPr>
        <w:tc>
          <w:tcPr>
            <w:tcW w:w="92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sz w:val="24"/>
                <w:szCs w:val="24"/>
              </w:rPr>
              <w:t> </w:t>
            </w:r>
          </w:p>
        </w:tc>
      </w:tr>
      <w:tr w:rsidR="0083136A" w:rsidRPr="00C35D5D" w:rsidTr="000A1074">
        <w:trPr>
          <w:trHeight w:val="615"/>
          <w:jc w:val="center"/>
        </w:trPr>
        <w:tc>
          <w:tcPr>
            <w:tcW w:w="4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CARGO COMISSIONADO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SÍMBOLO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Nº DE CARGOS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sz w:val="24"/>
                <w:szCs w:val="24"/>
              </w:rPr>
              <w:t>VALOR</w:t>
            </w:r>
          </w:p>
        </w:tc>
      </w:tr>
      <w:tr w:rsidR="0083136A" w:rsidRPr="00C35D5D" w:rsidTr="000A1074">
        <w:trPr>
          <w:trHeight w:val="270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VENC.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COMIS.</w:t>
            </w:r>
          </w:p>
        </w:tc>
      </w:tr>
      <w:tr w:rsidR="0083136A" w:rsidRPr="00C35D5D" w:rsidTr="000A1074">
        <w:trPr>
          <w:trHeight w:val="480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1- DIRETOR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CC1</w:t>
            </w:r>
          </w:p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50%</w:t>
            </w:r>
          </w:p>
        </w:tc>
      </w:tr>
      <w:tr w:rsidR="0083136A" w:rsidRPr="00C35D5D" w:rsidTr="000A1074">
        <w:trPr>
          <w:trHeight w:val="255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NÍVEL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CC1A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R$ 1.770,84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50%</w:t>
            </w:r>
          </w:p>
        </w:tc>
      </w:tr>
      <w:tr w:rsidR="0083136A" w:rsidRPr="00C35D5D" w:rsidTr="000A1074">
        <w:trPr>
          <w:trHeight w:val="255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55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NÍVEL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CC1B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R$ 1.770,84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30%</w:t>
            </w:r>
          </w:p>
        </w:tc>
      </w:tr>
      <w:tr w:rsidR="0083136A" w:rsidRPr="00C35D5D" w:rsidTr="000A1074">
        <w:trPr>
          <w:trHeight w:val="255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70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NÍVEL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CC1C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R$ 1.670,60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30%</w:t>
            </w:r>
          </w:p>
        </w:tc>
      </w:tr>
      <w:tr w:rsidR="0083136A" w:rsidRPr="00C35D5D" w:rsidTr="000A1074">
        <w:trPr>
          <w:trHeight w:val="600"/>
          <w:jc w:val="center"/>
        </w:trPr>
        <w:tc>
          <w:tcPr>
            <w:tcW w:w="4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2 - SUPERVISOR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CC2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R$ 1.433,56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30%</w:t>
            </w: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300"/>
          <w:jc w:val="center"/>
        </w:trPr>
        <w:tc>
          <w:tcPr>
            <w:tcW w:w="42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3 - COORDENADOR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CC3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R$ 1.180,56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25%</w:t>
            </w: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300"/>
          <w:jc w:val="center"/>
        </w:trPr>
        <w:tc>
          <w:tcPr>
            <w:tcW w:w="4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4 - CHEFE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CC4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R$ 999,12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15%</w:t>
            </w: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435"/>
          <w:jc w:val="center"/>
        </w:trPr>
        <w:tc>
          <w:tcPr>
            <w:tcW w:w="4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5 - ENCARREGADO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CC5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R$ 826,39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20%</w:t>
            </w: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276"/>
          <w:jc w:val="center"/>
        </w:trPr>
        <w:tc>
          <w:tcPr>
            <w:tcW w:w="4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975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6 - GERENTE DO PRONTO ATENDIMENTO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GEPA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R$ 2.006,95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20%</w:t>
            </w:r>
          </w:p>
        </w:tc>
      </w:tr>
      <w:tr w:rsidR="0083136A" w:rsidRPr="00C35D5D" w:rsidTr="000A1074">
        <w:trPr>
          <w:trHeight w:val="525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7 - ASSESSOR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CCA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R$ 1.574,08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45%</w:t>
            </w:r>
          </w:p>
        </w:tc>
      </w:tr>
      <w:tr w:rsidR="0083136A" w:rsidRPr="00C35D5D" w:rsidTr="000A1074">
        <w:trPr>
          <w:trHeight w:val="630"/>
          <w:jc w:val="center"/>
        </w:trPr>
        <w:tc>
          <w:tcPr>
            <w:tcW w:w="4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both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(Ensino Superior Completo)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</w:p>
        </w:tc>
      </w:tr>
      <w:tr w:rsidR="0083136A" w:rsidRPr="00C35D5D" w:rsidTr="000A1074">
        <w:trPr>
          <w:trHeight w:val="1290"/>
          <w:jc w:val="center"/>
        </w:trPr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GRUPO 8 - MOTORISTA DO PREFEITO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MP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R$ 944,45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136A" w:rsidRPr="00C35D5D" w:rsidRDefault="0083136A" w:rsidP="000A1074">
            <w:pPr>
              <w:jc w:val="center"/>
              <w:rPr>
                <w:sz w:val="24"/>
                <w:szCs w:val="24"/>
              </w:rPr>
            </w:pPr>
            <w:r w:rsidRPr="00C35D5D">
              <w:rPr>
                <w:i/>
                <w:iCs/>
                <w:sz w:val="24"/>
                <w:szCs w:val="24"/>
              </w:rPr>
              <w:t>55%”</w:t>
            </w:r>
          </w:p>
        </w:tc>
      </w:tr>
    </w:tbl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b/>
          <w:bCs/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ind w:firstLine="1418"/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 </w:t>
      </w:r>
      <w:r w:rsidRPr="00C35D5D">
        <w:rPr>
          <w:b/>
          <w:bCs/>
          <w:color w:val="222222"/>
          <w:sz w:val="24"/>
          <w:szCs w:val="24"/>
        </w:rPr>
        <w:t>Art. 3º </w:t>
      </w:r>
      <w:r w:rsidRPr="00C35D5D">
        <w:rPr>
          <w:color w:val="222222"/>
          <w:sz w:val="24"/>
          <w:szCs w:val="24"/>
        </w:rPr>
        <w:t>As atribuições relativas ao cargo de “Chefe de Divisão de Documentação Contábil” do Anexo XVIII da Lei Complementar N°. 37, de 30 de novembro de 2010, e suas alterações, passam a viger com a seguinte redação: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jc w:val="center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“ANEXO XVIII</w:t>
      </w:r>
    </w:p>
    <w:p w:rsidR="0083136A" w:rsidRPr="00C35D5D" w:rsidRDefault="0083136A" w:rsidP="0083136A">
      <w:pPr>
        <w:jc w:val="center"/>
        <w:rPr>
          <w:color w:val="222222"/>
          <w:sz w:val="24"/>
          <w:szCs w:val="24"/>
        </w:rPr>
      </w:pPr>
    </w:p>
    <w:p w:rsidR="0083136A" w:rsidRPr="00C35D5D" w:rsidRDefault="0083136A" w:rsidP="0083136A">
      <w:pPr>
        <w:jc w:val="center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LEI COMPLEMENTAR N°. 37, DE 30 DE NOVEMBRO DE 2010, E SUAS ALTERAÇÕES.</w:t>
      </w:r>
    </w:p>
    <w:p w:rsidR="0083136A" w:rsidRPr="00C35D5D" w:rsidRDefault="0083136A" w:rsidP="0083136A">
      <w:pPr>
        <w:jc w:val="center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DOS CARGOS E ATRIBUIÇÕES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UNIDADE ADMINISTRATIVA 12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SECRETARIA MUNICIPAL DE DESENVOLVIMENTO HUMANO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i/>
          <w:iCs/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CARGO:</w:t>
      </w:r>
      <w:r w:rsidRPr="00C35D5D">
        <w:rPr>
          <w:i/>
          <w:iCs/>
          <w:color w:val="222222"/>
          <w:sz w:val="24"/>
          <w:szCs w:val="24"/>
        </w:rPr>
        <w:t> COORDENADOR DE DIVISÃO DE DOCUMENTAÇÃO CONTÁBIL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ATRIBUIÇÕES:</w:t>
      </w:r>
    </w:p>
    <w:p w:rsidR="0083136A" w:rsidRPr="00C35D5D" w:rsidRDefault="0083136A" w:rsidP="0083136A">
      <w:pPr>
        <w:numPr>
          <w:ilvl w:val="0"/>
          <w:numId w:val="1"/>
        </w:numPr>
        <w:suppressAutoHyphens w:val="0"/>
        <w:jc w:val="both"/>
        <w:rPr>
          <w:color w:val="222222"/>
          <w:sz w:val="24"/>
          <w:szCs w:val="24"/>
        </w:rPr>
      </w:pPr>
      <w:r w:rsidRPr="00C35D5D">
        <w:rPr>
          <w:i/>
          <w:iCs/>
          <w:color w:val="222222"/>
          <w:sz w:val="24"/>
          <w:szCs w:val="24"/>
        </w:rPr>
        <w:t>Manter em pastas organizadas em arquivo próprio toda documentação de comprovação de receita e despesa para fins de fiscalização, que será enviada mediante protocolo ao Sistema de Controle Interno para fins de fiscalização do Tribunal de Contas do Estado;</w:t>
      </w:r>
    </w:p>
    <w:p w:rsidR="0083136A" w:rsidRPr="00C35D5D" w:rsidRDefault="0083136A" w:rsidP="0083136A">
      <w:pPr>
        <w:numPr>
          <w:ilvl w:val="0"/>
          <w:numId w:val="1"/>
        </w:numPr>
        <w:suppressAutoHyphens w:val="0"/>
        <w:jc w:val="both"/>
        <w:rPr>
          <w:color w:val="222222"/>
          <w:sz w:val="24"/>
          <w:szCs w:val="24"/>
        </w:rPr>
      </w:pPr>
      <w:r w:rsidRPr="00C35D5D">
        <w:rPr>
          <w:i/>
          <w:iCs/>
          <w:color w:val="222222"/>
          <w:sz w:val="24"/>
          <w:szCs w:val="24"/>
        </w:rPr>
        <w:t>Organizar e controlar pastas dos comprovantes de despesas e receitas em obediência às Instruções Normativas do Tribunal de Contas do Estado;</w:t>
      </w:r>
    </w:p>
    <w:p w:rsidR="0083136A" w:rsidRPr="00C35D5D" w:rsidRDefault="0083136A" w:rsidP="0083136A">
      <w:pPr>
        <w:numPr>
          <w:ilvl w:val="0"/>
          <w:numId w:val="1"/>
        </w:numPr>
        <w:suppressAutoHyphens w:val="0"/>
        <w:jc w:val="both"/>
        <w:rPr>
          <w:color w:val="222222"/>
          <w:sz w:val="24"/>
          <w:szCs w:val="24"/>
        </w:rPr>
      </w:pPr>
      <w:r w:rsidRPr="00C35D5D">
        <w:rPr>
          <w:i/>
          <w:iCs/>
          <w:color w:val="222222"/>
          <w:sz w:val="24"/>
          <w:szCs w:val="24"/>
        </w:rPr>
        <w:t>Manter encadernado em capa dura ou outro processo similar os movimentos mensais, fazendo constar a assinatura do Prefeito, dos responsáveis pela contabilidade e controle interno;</w:t>
      </w:r>
    </w:p>
    <w:p w:rsidR="0083136A" w:rsidRPr="00C35D5D" w:rsidRDefault="0083136A" w:rsidP="0083136A">
      <w:pPr>
        <w:numPr>
          <w:ilvl w:val="0"/>
          <w:numId w:val="1"/>
        </w:numPr>
        <w:suppressAutoHyphens w:val="0"/>
        <w:jc w:val="both"/>
        <w:rPr>
          <w:color w:val="222222"/>
          <w:sz w:val="24"/>
          <w:szCs w:val="24"/>
        </w:rPr>
      </w:pPr>
      <w:r w:rsidRPr="00C35D5D">
        <w:rPr>
          <w:i/>
          <w:iCs/>
          <w:color w:val="222222"/>
          <w:sz w:val="24"/>
          <w:szCs w:val="24"/>
        </w:rPr>
        <w:t>Manter em pastas organizadas todos os demonstrativos contábeis, diários e mensais;</w:t>
      </w:r>
    </w:p>
    <w:p w:rsidR="0083136A" w:rsidRPr="00C35D5D" w:rsidRDefault="0083136A" w:rsidP="0083136A">
      <w:pPr>
        <w:numPr>
          <w:ilvl w:val="0"/>
          <w:numId w:val="1"/>
        </w:numPr>
        <w:suppressAutoHyphens w:val="0"/>
        <w:jc w:val="both"/>
        <w:rPr>
          <w:color w:val="222222"/>
          <w:sz w:val="24"/>
          <w:szCs w:val="24"/>
        </w:rPr>
      </w:pPr>
      <w:r w:rsidRPr="00C35D5D">
        <w:rPr>
          <w:i/>
          <w:iCs/>
          <w:color w:val="222222"/>
          <w:sz w:val="24"/>
          <w:szCs w:val="24"/>
        </w:rPr>
        <w:lastRenderedPageBreak/>
        <w:t xml:space="preserve">Desenvolver outras tarefas correlatas ou determinadas por </w:t>
      </w:r>
      <w:proofErr w:type="gramStart"/>
      <w:r w:rsidRPr="00C35D5D">
        <w:rPr>
          <w:i/>
          <w:iCs/>
          <w:color w:val="222222"/>
          <w:sz w:val="24"/>
          <w:szCs w:val="24"/>
        </w:rPr>
        <w:t>superior.”</w:t>
      </w:r>
      <w:proofErr w:type="gramEnd"/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b/>
          <w:bCs/>
          <w:i/>
          <w:iCs/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b/>
          <w:bCs/>
          <w:color w:val="222222"/>
          <w:sz w:val="24"/>
          <w:szCs w:val="24"/>
        </w:rPr>
        <w:t> 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b/>
          <w:bCs/>
          <w:color w:val="222222"/>
          <w:sz w:val="24"/>
          <w:szCs w:val="24"/>
        </w:rPr>
        <w:t>Art. 4º</w:t>
      </w:r>
      <w:r w:rsidRPr="00C35D5D">
        <w:rPr>
          <w:color w:val="222222"/>
          <w:sz w:val="24"/>
          <w:szCs w:val="24"/>
        </w:rPr>
        <w:t> Esta Lei entra em vigor na data de sua publicação, revogadas as disposições em contrário e produzindo seus efeitos a partir do primeiro dia do mês da publicação.</w:t>
      </w:r>
    </w:p>
    <w:p w:rsidR="0083136A" w:rsidRPr="00C35D5D" w:rsidRDefault="0083136A" w:rsidP="0083136A">
      <w:pPr>
        <w:ind w:firstLine="1080"/>
        <w:jc w:val="both"/>
        <w:rPr>
          <w:color w:val="222222"/>
          <w:sz w:val="24"/>
          <w:szCs w:val="24"/>
        </w:rPr>
      </w:pPr>
      <w:r w:rsidRPr="00C35D5D">
        <w:rPr>
          <w:color w:val="222222"/>
          <w:sz w:val="24"/>
          <w:szCs w:val="24"/>
        </w:rPr>
        <w:t> </w:t>
      </w:r>
    </w:p>
    <w:p w:rsidR="0083136A" w:rsidRPr="00526BC7" w:rsidRDefault="0083136A" w:rsidP="0083136A">
      <w:pPr>
        <w:ind w:firstLine="1080"/>
        <w:jc w:val="both"/>
        <w:rPr>
          <w:szCs w:val="24"/>
        </w:rPr>
      </w:pPr>
      <w:r w:rsidRPr="00C35D5D">
        <w:rPr>
          <w:color w:val="222222"/>
          <w:sz w:val="24"/>
          <w:szCs w:val="24"/>
        </w:rPr>
        <w:t> </w:t>
      </w: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83136A" w:rsidRDefault="0083136A" w:rsidP="0083136A">
      <w:pPr>
        <w:pStyle w:val="Corpodetexto32"/>
        <w:spacing w:line="100" w:lineRule="atLeast"/>
        <w:rPr>
          <w:rFonts w:ascii="Times New Roman" w:hAnsi="Times New Roman"/>
        </w:rPr>
      </w:pPr>
    </w:p>
    <w:p w:rsidR="0083136A" w:rsidRDefault="0083136A" w:rsidP="0083136A">
      <w:pPr>
        <w:pStyle w:val="Corpodetexto32"/>
        <w:spacing w:line="100" w:lineRule="atLeast"/>
        <w:rPr>
          <w:rFonts w:ascii="Times New Roman" w:hAnsi="Times New Roman"/>
        </w:rPr>
      </w:pPr>
    </w:p>
    <w:p w:rsidR="0083136A" w:rsidRDefault="0083136A" w:rsidP="0083136A">
      <w:pPr>
        <w:pStyle w:val="Corpodetexto32"/>
        <w:spacing w:line="100" w:lineRule="atLeast"/>
        <w:rPr>
          <w:rFonts w:ascii="Times New Roman" w:hAnsi="Times New Roman"/>
        </w:rPr>
      </w:pPr>
    </w:p>
    <w:p w:rsidR="0083136A" w:rsidRDefault="0083136A" w:rsidP="0083136A">
      <w:pPr>
        <w:pStyle w:val="Corpodetexto32"/>
        <w:spacing w:line="100" w:lineRule="atLeast"/>
        <w:rPr>
          <w:rFonts w:ascii="Times New Roman" w:hAnsi="Times New Roman"/>
        </w:rPr>
      </w:pPr>
    </w:p>
    <w:p w:rsidR="0083136A" w:rsidRDefault="0083136A" w:rsidP="0083136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3136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3136A" w:rsidRDefault="0083136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3136A" w:rsidRDefault="0083136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3136A" w:rsidRDefault="0083136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3136A" w:rsidRDefault="0083136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83136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5612F"/>
    <w:multiLevelType w:val="hybridMultilevel"/>
    <w:tmpl w:val="A83E0422"/>
    <w:lvl w:ilvl="0" w:tplc="662E72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6A"/>
    <w:rsid w:val="000A2C50"/>
    <w:rsid w:val="00147E9B"/>
    <w:rsid w:val="004662F0"/>
    <w:rsid w:val="005B4ECA"/>
    <w:rsid w:val="0070535B"/>
    <w:rsid w:val="00757829"/>
    <w:rsid w:val="0083136A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AED5-023D-4B53-911A-B40CC989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6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83136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2018-08-30T20:40:00Z</dcterms:created>
  <dcterms:modified xsi:type="dcterms:W3CDTF">2018-08-30T20:40:00Z</dcterms:modified>
</cp:coreProperties>
</file>