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C" w:rsidRDefault="00842B1C" w:rsidP="00842B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3383, DE 04 DE SETEMBRO DE 2002.</w:t>
      </w:r>
    </w:p>
    <w:p w:rsidR="00842B1C" w:rsidRDefault="00842B1C" w:rsidP="00842B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42B1C" w:rsidRDefault="00842B1C" w:rsidP="00842B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842B1C" w:rsidRDefault="00842B1C" w:rsidP="00842B1C">
      <w:pPr>
        <w:pStyle w:val="BlockQuotation"/>
        <w:widowControl/>
        <w:ind w:left="4253" w:right="0"/>
      </w:pPr>
      <w:r>
        <w:t>Introduz alterações na Lei nº 3330, de 28 de março de 2002, e dá outras providências.</w:t>
      </w:r>
    </w:p>
    <w:p w:rsidR="00842B1C" w:rsidRDefault="00842B1C" w:rsidP="00842B1C">
      <w:pPr>
        <w:pStyle w:val="BlockQuotation"/>
        <w:widowControl/>
        <w:ind w:left="4253" w:right="0"/>
      </w:pPr>
    </w:p>
    <w:p w:rsidR="00842B1C" w:rsidRDefault="00842B1C" w:rsidP="00842B1C">
      <w:pPr>
        <w:pStyle w:val="BlockQuotation"/>
        <w:widowControl/>
        <w:ind w:left="4253" w:right="0"/>
      </w:pPr>
    </w:p>
    <w:p w:rsidR="00842B1C" w:rsidRDefault="00842B1C" w:rsidP="00842B1C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842B1C" w:rsidRDefault="00842B1C" w:rsidP="00842B1C">
      <w:pPr>
        <w:pStyle w:val="BlockQuotation"/>
        <w:widowControl/>
        <w:ind w:left="0" w:right="0"/>
      </w:pPr>
    </w:p>
    <w:p w:rsidR="00842B1C" w:rsidRDefault="00842B1C" w:rsidP="00842B1C">
      <w:pPr>
        <w:pStyle w:val="BlockQuotation"/>
        <w:widowControl/>
        <w:ind w:left="0" w:right="0"/>
      </w:pPr>
      <w:r>
        <w:tab/>
      </w:r>
      <w:r>
        <w:tab/>
      </w:r>
    </w:p>
    <w:p w:rsidR="00842B1C" w:rsidRDefault="00842B1C" w:rsidP="00842B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Os artigos 10, 14, 17, 19, 25, 66, 69 e 76 da Lei nº 3330, de 28 de março de 2002, passam a ter a seguinte redação:</w:t>
      </w:r>
    </w:p>
    <w:p w:rsidR="00842B1C" w:rsidRDefault="00842B1C" w:rsidP="00842B1C">
      <w:pPr>
        <w:pStyle w:val="BlockQuotation"/>
        <w:widowControl/>
        <w:ind w:left="0" w:right="0"/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</w:rPr>
      </w:pPr>
      <w:r>
        <w:tab/>
      </w:r>
      <w:r>
        <w:tab/>
        <w:t>“</w:t>
      </w:r>
      <w:r>
        <w:rPr>
          <w:b/>
          <w:bCs/>
          <w:i/>
          <w:iCs/>
        </w:rPr>
        <w:t xml:space="preserve">ART. 10 – </w:t>
      </w:r>
      <w:r>
        <w:rPr>
          <w:i/>
          <w:iCs/>
        </w:rPr>
        <w:t>Os Conselheiros Fiscais não farão jus a qualquer tipo de remuneração pela participação nas reuniões do Conselho Fiscal, sendo considerado relevante serviço prestado à Comunidade.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  <w:i/>
          <w:iCs/>
        </w:rPr>
        <w:t xml:space="preserve">ART. 14 – </w:t>
      </w:r>
      <w:r>
        <w:rPr>
          <w:i/>
          <w:iCs/>
        </w:rPr>
        <w:t>Os Conselheiros não farão jus a qualquer tipo de remuneração pela participação nas reuniões do Conselho Administrativo, sendo considerado relevante serviço prestado à Comunidade.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</w:rPr>
      </w:pP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  <w:i/>
          <w:iCs/>
        </w:rPr>
        <w:t xml:space="preserve">ART. 17 - </w:t>
      </w:r>
      <w:r>
        <w:rPr>
          <w:i/>
          <w:iCs/>
          <w:spacing w:val="10"/>
        </w:rPr>
        <w:t>Compete à Junta de Recursos julgar, em última instância, os recursos dos Servidores Municipais que se sentirem prejudicados nos seus direitos pertinentes à solicitação de benefícios, formulados pelos mesmos à PREVIFOR,  sendo suas decisões lavradas em atas que serão encaminhadas ao Superintendente, que as acatará</w:t>
      </w:r>
      <w:r>
        <w:rPr>
          <w:spacing w:val="10"/>
        </w:rPr>
        <w:t>.</w:t>
      </w: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spacing w:val="10"/>
        </w:rPr>
        <w:tab/>
      </w:r>
      <w:r>
        <w:rPr>
          <w:spacing w:val="10"/>
        </w:rPr>
        <w:tab/>
      </w:r>
      <w:r>
        <w:rPr>
          <w:b/>
          <w:bCs/>
          <w:i/>
          <w:iCs/>
          <w:spacing w:val="10"/>
        </w:rPr>
        <w:t xml:space="preserve">ART. 19 – </w:t>
      </w:r>
      <w:r>
        <w:rPr>
          <w:i/>
          <w:iCs/>
          <w:spacing w:val="10"/>
        </w:rPr>
        <w:t>Os membros da Junta de Recursos não farão jus a qualquer tipo de remuneração pela participação nas reuniões da Junta Recursal, sendo considerado relevante serviço prestado à Comunidade.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ART. 25 - </w:t>
      </w:r>
      <w:r>
        <w:rPr>
          <w:i/>
          <w:iCs/>
          <w:spacing w:val="10"/>
        </w:rPr>
        <w:t>.........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 – cônjuge ou o (a) companheiro(a), os (as) filhos (as) não emancipado (s), de qualquer condição, menor de 21 anos, ou inválido (s);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II – os pais inválidos, desde que não seja beneficiário (as) de outro sistema de previdência.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III – irmão ou irmã inválido (a) ou menor de 18 anos, que viva sob sua dependência econômica cujos pais não tenham condições de assistência e que não estejam inscritos em outro regime de previdência.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ART. 66 - </w:t>
      </w:r>
      <w:r>
        <w:rPr>
          <w:i/>
          <w:iCs/>
          <w:spacing w:val="10"/>
        </w:rPr>
        <w:t>........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 1º - </w:t>
      </w:r>
      <w:r>
        <w:rPr>
          <w:i/>
          <w:iCs/>
          <w:spacing w:val="10"/>
        </w:rPr>
        <w:t>..............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 2º - </w:t>
      </w:r>
      <w:r>
        <w:rPr>
          <w:i/>
          <w:iCs/>
          <w:spacing w:val="10"/>
        </w:rPr>
        <w:t>...........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lastRenderedPageBreak/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 3º - </w:t>
      </w:r>
      <w:r>
        <w:rPr>
          <w:i/>
          <w:iCs/>
          <w:spacing w:val="10"/>
        </w:rPr>
        <w:t>...........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 4º - </w:t>
      </w:r>
      <w:r>
        <w:rPr>
          <w:i/>
          <w:iCs/>
          <w:spacing w:val="10"/>
        </w:rPr>
        <w:t>A cobrança de contribuição previdenciária dos inativos e pensionistas dependerá de Emenda Constitucional autorizativa.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 5º - </w:t>
      </w:r>
      <w:r>
        <w:rPr>
          <w:i/>
          <w:iCs/>
          <w:spacing w:val="10"/>
        </w:rPr>
        <w:t>Até que seja aprovada a Emenda Constitucional a que se refere o parágrafo anterior a alíquota de contribuição do Município somente incidirá sobre a soma dos salários de contribuição dos servidores ativos.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ART. 69 - </w:t>
      </w:r>
      <w:r>
        <w:rPr>
          <w:i/>
          <w:iCs/>
          <w:spacing w:val="10"/>
        </w:rPr>
        <w:t>........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widowControl w:val="0"/>
        <w:jc w:val="both"/>
        <w:rPr>
          <w:i/>
          <w:iCs/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</w:r>
      <w:r>
        <w:rPr>
          <w:b/>
          <w:bCs/>
          <w:i/>
          <w:iCs/>
          <w:lang w:val="pt-PT"/>
        </w:rPr>
        <w:t>§ 1º -</w:t>
      </w:r>
      <w:r>
        <w:rPr>
          <w:i/>
          <w:iCs/>
          <w:lang w:val="pt-PT"/>
        </w:rPr>
        <w:t xml:space="preserve"> Considerando o pequeno volume de recursos do PREVIFOR nos seus 5 (cinco) primeiros anos de existência, deverá o seu Patrimônio ser administrado, nesse período, por um único Administrador de Carteira de Investimentos contratado, a partir do 6º (sexto) ano de sua existência, poderá ser administrado por 2 (dois) administradores de Carteira de Investimentos.</w:t>
      </w:r>
    </w:p>
    <w:p w:rsidR="00842B1C" w:rsidRDefault="00842B1C" w:rsidP="00842B1C">
      <w:pPr>
        <w:pStyle w:val="BlockQuotation"/>
        <w:widowControl/>
        <w:ind w:left="0" w:right="0"/>
        <w:rPr>
          <w:b/>
          <w:bCs/>
          <w:i/>
          <w:iCs/>
          <w:spacing w:val="10"/>
          <w:lang w:val="pt-PT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b/>
          <w:bCs/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ab/>
        <w:t xml:space="preserve">§ 2º - </w:t>
      </w:r>
      <w:r>
        <w:rPr>
          <w:i/>
          <w:iCs/>
          <w:spacing w:val="10"/>
        </w:rPr>
        <w:t>Na contratação do Agente Financeiro para gerência e administração da Carteira de Ativos da PREVIFOR deve-se observar o seguinte: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 – As aplicações financeiras decorrentes dos recursos de custeio da PREVIFOR devem atender às resoluções do Conselho Monetário Nacional (CMN), sendo vedada a aplicação em títulos públicos, exceto os títulos públicos federais, bem como a utilização desses recursos para empréstimos, de qualquer natureza.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II – As aquisições e alienações de bens imóveis dependerão de prévia autorização dos Conselhos e do Poder Legislativo.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ART. 76 – </w:t>
      </w:r>
      <w:r>
        <w:rPr>
          <w:i/>
          <w:iCs/>
          <w:spacing w:val="10"/>
        </w:rPr>
        <w:t>Os recursos a serem despendidos pela Previdência Municipal, a título de despesas administrativas de custeio de seu funcionamento, não poderão, em nenhuma hipótese, exceder a 2% (dois por cento) do valor total da remuneração paga aos servidores no ano anterior, compreendendo os ativos e inativos.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spacing w:val="10"/>
        </w:rPr>
        <w:t xml:space="preserve">ART. 2º - </w:t>
      </w:r>
      <w:r>
        <w:rPr>
          <w:spacing w:val="10"/>
        </w:rPr>
        <w:t>Fica acrescido o seguinte artigo na Lei nº 3330, de 28 de março de 2002.</w:t>
      </w: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spacing w:val="10"/>
        </w:rPr>
        <w:tab/>
      </w:r>
      <w:r>
        <w:rPr>
          <w:spacing w:val="10"/>
        </w:rPr>
        <w:tab/>
      </w:r>
      <w:r>
        <w:rPr>
          <w:b/>
          <w:bCs/>
          <w:i/>
          <w:iCs/>
          <w:spacing w:val="10"/>
        </w:rPr>
        <w:t xml:space="preserve">ART. </w:t>
      </w:r>
      <w:smartTag w:uri="urn:schemas-microsoft-com:office:smarttags" w:element="metricconverter">
        <w:smartTagPr>
          <w:attr w:name="ProductID" w:val="76 A"/>
        </w:smartTagPr>
        <w:r>
          <w:rPr>
            <w:b/>
            <w:bCs/>
            <w:i/>
            <w:iCs/>
            <w:spacing w:val="10"/>
          </w:rPr>
          <w:t>76 A</w:t>
        </w:r>
      </w:smartTag>
      <w:r>
        <w:rPr>
          <w:b/>
          <w:bCs/>
          <w:i/>
          <w:iCs/>
          <w:spacing w:val="10"/>
        </w:rPr>
        <w:t xml:space="preserve"> – </w:t>
      </w:r>
      <w:r>
        <w:rPr>
          <w:i/>
          <w:iCs/>
          <w:spacing w:val="10"/>
        </w:rPr>
        <w:t>O Sistema Previdenciário adotado pela PREVIFOR é o misto, qual seja: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 – De repartição simples, relativamente aos servidores ocupantes de cargos efetivos e aos estáveis admitidos ao serviço público municipal até a data de edição desta Lei.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II – De capitalização, relativamente aos servidores ocupantes de cargo efetivo que vierem a ser admitidos ao serviço público municipal após a edição desta Lei.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lastRenderedPageBreak/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§1º - </w:t>
      </w:r>
      <w:r>
        <w:rPr>
          <w:i/>
          <w:iCs/>
          <w:spacing w:val="10"/>
        </w:rPr>
        <w:t>Os sistemas previdenciários previstos nos incisos I e II deste artigo, têm natureza jurídica estipulada pela legislação federal pertinente.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 2º - </w:t>
      </w:r>
      <w:r>
        <w:rPr>
          <w:i/>
          <w:iCs/>
          <w:spacing w:val="10"/>
        </w:rPr>
        <w:t>Inobstante ser de repartição simples o sistema relativo aos servidores admitidos até a data da edição desta Lei, a Administração Municipal deverá capitalizar anualmente os recursos provenientes de contribuições e dos bens, direitos e ativos de qualquer natureza, mediante Lei, sem prejuízo do cumprimento das obrigações relativas ao sistema de repartição simples o correspondente a: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 – Em 2002, 3% (três por cento) sobre o valor mensal dos vencimentos pagos aos servidores segurados pela PREVIFOR,  no exercício financeiro de 2002, na mesma data prevista no artigo 68, desta Lei.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II – Em 2003, 4% (quatro por cento) sobre o valor mensal dos vencimentos pagos aos servidores segurados pela PREVIFOR, no exercício financeiro de 2003, na mesma data prevista no artigo 68 desta Lei.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III – Em 2004, 5% (cinco por cento) sobre o valor mensal dos vencimentos pagos aos servidores segurados pela PREVIFOR,  no exercício financeiro de 2004, na mesma data prevista no artigo 68 desta Lei.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  <w:t>IV – A partir de 2005, 6% (seis por cento) sobre o valor mensal dos vencimentos pagos aos servidores segurados pela PREVIFOR,  no exercício financeiro de 2004, na mesma data prevista no artigo 68 desta Lei.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>§ 3º</w:t>
      </w:r>
      <w:r>
        <w:rPr>
          <w:i/>
          <w:iCs/>
          <w:spacing w:val="10"/>
        </w:rPr>
        <w:t xml:space="preserve"> – Os repasses efetuados com base nos incisos I, II, III e IV, deverão ser segregados contabilmente das demais contribuições à PREVIFOR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 4º - </w:t>
      </w:r>
      <w:r>
        <w:rPr>
          <w:i/>
          <w:iCs/>
          <w:spacing w:val="10"/>
        </w:rPr>
        <w:t>Sem prejuízo da capitalização a que se refere o Parágrafo Segundo, e de acordo com o disposto no art. 249 da Constituição Federal, a Administração Municipal poderá constituir fundo previdenciário, mediante aporte de ativos imobiliários, de direitos e de contribuições e royalties, dentre outros, mediante lei autorizativa específica.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 5º - </w:t>
      </w:r>
      <w:r>
        <w:rPr>
          <w:i/>
          <w:iCs/>
          <w:spacing w:val="10"/>
        </w:rPr>
        <w:t>Os valores dos créditos do Município oriundos do encontro de contas referente a eventuais compensações previdenciárias previstas pelo Parágrafo 9º do artigo 201 da Constituição Federal e pela Lei Federal nº 9796, de 09/05/1999, serão capitalizados em favor do sistema a que se reporta o inciso I deste artigo.</w:t>
      </w:r>
    </w:p>
    <w:p w:rsidR="00842B1C" w:rsidRDefault="00842B1C" w:rsidP="00842B1C">
      <w:pPr>
        <w:pStyle w:val="BlockQuotation"/>
        <w:widowControl/>
        <w:ind w:left="0" w:right="0"/>
        <w:rPr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b/>
          <w:bCs/>
          <w:i/>
          <w:iCs/>
          <w:spacing w:val="10"/>
        </w:rPr>
      </w:pPr>
      <w:r>
        <w:rPr>
          <w:i/>
          <w:iCs/>
          <w:spacing w:val="10"/>
        </w:rPr>
        <w:tab/>
      </w:r>
      <w:r>
        <w:rPr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 xml:space="preserve">§ 6º - </w:t>
      </w:r>
      <w:r>
        <w:rPr>
          <w:i/>
          <w:iCs/>
          <w:spacing w:val="10"/>
        </w:rPr>
        <w:t xml:space="preserve">Quando da avaliação atuarial anual, em face da capitalização ocorrida, o cálculo deverá indicar quais os servidores que deverão ser transferidos do Sistema Previdenciário de Repartição Simples para o Capitalizado. </w:t>
      </w:r>
      <w:r>
        <w:rPr>
          <w:b/>
          <w:bCs/>
          <w:i/>
          <w:iCs/>
          <w:spacing w:val="10"/>
        </w:rPr>
        <w:t xml:space="preserve">  </w:t>
      </w:r>
    </w:p>
    <w:p w:rsidR="00842B1C" w:rsidRDefault="00842B1C" w:rsidP="00842B1C">
      <w:pPr>
        <w:pStyle w:val="BlockQuotation"/>
        <w:widowControl/>
        <w:ind w:left="0" w:right="0"/>
        <w:rPr>
          <w:b/>
          <w:bCs/>
          <w:i/>
          <w:iCs/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  <w:r>
        <w:rPr>
          <w:b/>
          <w:bCs/>
          <w:i/>
          <w:iCs/>
          <w:spacing w:val="10"/>
        </w:rPr>
        <w:tab/>
      </w:r>
      <w:r>
        <w:rPr>
          <w:b/>
          <w:bCs/>
          <w:i/>
          <w:iCs/>
          <w:spacing w:val="10"/>
        </w:rPr>
        <w:tab/>
      </w:r>
      <w:r>
        <w:rPr>
          <w:b/>
          <w:bCs/>
          <w:spacing w:val="10"/>
        </w:rPr>
        <w:t xml:space="preserve">ART. 3º - </w:t>
      </w:r>
      <w:r>
        <w:rPr>
          <w:spacing w:val="10"/>
        </w:rPr>
        <w:t>Ficam suprimidos os incisos III, IV e V do parágrafo segundo do artigo 69, da Lei nº 3330, de 28 de março de 2002.</w:t>
      </w: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  <w:r>
        <w:rPr>
          <w:spacing w:val="10"/>
        </w:rPr>
        <w:tab/>
      </w:r>
      <w:r>
        <w:rPr>
          <w:spacing w:val="10"/>
        </w:rPr>
        <w:tab/>
      </w:r>
      <w:r>
        <w:rPr>
          <w:b/>
          <w:bCs/>
          <w:spacing w:val="10"/>
        </w:rPr>
        <w:t xml:space="preserve">ART. 4º - </w:t>
      </w:r>
      <w:r>
        <w:rPr>
          <w:spacing w:val="10"/>
        </w:rPr>
        <w:t>Esta Lei entra em vigor na data de sua publicação.</w:t>
      </w: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  <w:r>
        <w:rPr>
          <w:spacing w:val="10"/>
        </w:rPr>
        <w:tab/>
      </w:r>
      <w:r>
        <w:rPr>
          <w:spacing w:val="10"/>
        </w:rPr>
        <w:tab/>
      </w:r>
      <w:r>
        <w:rPr>
          <w:b/>
          <w:bCs/>
          <w:spacing w:val="10"/>
        </w:rPr>
        <w:t xml:space="preserve">ART. 5º - </w:t>
      </w:r>
      <w:r>
        <w:rPr>
          <w:spacing w:val="10"/>
        </w:rPr>
        <w:t>Revogam-se as disposições em contrário.</w:t>
      </w: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  <w:r>
        <w:rPr>
          <w:spacing w:val="10"/>
        </w:rPr>
        <w:tab/>
      </w:r>
      <w:r>
        <w:rPr>
          <w:spacing w:val="10"/>
        </w:rPr>
        <w:tab/>
        <w:t>Gabinete do Prefeito em Formiga, 04 de setembro de 2002.</w:t>
      </w: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rPr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jc w:val="center"/>
        <w:rPr>
          <w:spacing w:val="10"/>
        </w:rPr>
      </w:pPr>
    </w:p>
    <w:p w:rsidR="00842B1C" w:rsidRDefault="00842B1C" w:rsidP="00842B1C">
      <w:pPr>
        <w:pStyle w:val="BlockQuotation"/>
        <w:widowControl/>
        <w:ind w:left="0" w:right="0"/>
        <w:jc w:val="center"/>
        <w:rPr>
          <w:b/>
          <w:bCs/>
          <w:i/>
          <w:iCs/>
          <w:spacing w:val="10"/>
        </w:rPr>
      </w:pPr>
      <w:r>
        <w:rPr>
          <w:b/>
          <w:bCs/>
          <w:i/>
          <w:iCs/>
          <w:spacing w:val="10"/>
        </w:rPr>
        <w:t>JUAREZ EUFRÁSIO DE CARVALHO</w:t>
      </w:r>
    </w:p>
    <w:p w:rsidR="00842B1C" w:rsidRDefault="00842B1C" w:rsidP="00842B1C">
      <w:pPr>
        <w:pStyle w:val="BlockQuotation"/>
        <w:widowControl/>
        <w:ind w:left="0" w:right="0"/>
        <w:jc w:val="center"/>
        <w:rPr>
          <w:spacing w:val="10"/>
        </w:rPr>
      </w:pPr>
      <w:r>
        <w:rPr>
          <w:spacing w:val="10"/>
        </w:rPr>
        <w:t>Prefeito Municipal de Formiga</w:t>
      </w:r>
    </w:p>
    <w:p w:rsidR="00842B1C" w:rsidRDefault="00842B1C" w:rsidP="00842B1C">
      <w:pPr>
        <w:jc w:val="center"/>
        <w:rPr>
          <w:color w:val="000000"/>
        </w:rPr>
      </w:pPr>
    </w:p>
    <w:p w:rsidR="00842B1C" w:rsidRDefault="00842B1C" w:rsidP="00842B1C">
      <w:pPr>
        <w:jc w:val="center"/>
        <w:rPr>
          <w:color w:val="000000"/>
        </w:rPr>
      </w:pPr>
    </w:p>
    <w:p w:rsidR="00842B1C" w:rsidRDefault="00842B1C" w:rsidP="00842B1C">
      <w:pPr>
        <w:jc w:val="center"/>
        <w:rPr>
          <w:color w:val="000000"/>
        </w:rPr>
      </w:pPr>
    </w:p>
    <w:p w:rsidR="00842B1C" w:rsidRDefault="00842B1C" w:rsidP="00842B1C">
      <w:pPr>
        <w:jc w:val="center"/>
        <w:rPr>
          <w:color w:val="000000"/>
        </w:rPr>
      </w:pPr>
    </w:p>
    <w:p w:rsidR="00842B1C" w:rsidRDefault="00842B1C" w:rsidP="00842B1C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842B1C" w:rsidRDefault="00842B1C" w:rsidP="00842B1C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30374B" w:rsidRDefault="00842B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1C"/>
    <w:rsid w:val="000A2C50"/>
    <w:rsid w:val="00147E9B"/>
    <w:rsid w:val="004662F0"/>
    <w:rsid w:val="005B4ECA"/>
    <w:rsid w:val="0070535B"/>
    <w:rsid w:val="00757829"/>
    <w:rsid w:val="00842B1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AB55C-303A-4741-8563-A15D1725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42B1C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2018-08-30T14:19:00Z</dcterms:created>
  <dcterms:modified xsi:type="dcterms:W3CDTF">2018-08-30T14:19:00Z</dcterms:modified>
</cp:coreProperties>
</file>