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44" w:rsidRDefault="00837844" w:rsidP="0083784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3440, DE 30 DE DEZEMBRO DE 2002.</w:t>
      </w:r>
    </w:p>
    <w:p w:rsidR="00837844" w:rsidRDefault="00837844" w:rsidP="00837844">
      <w:pPr>
        <w:spacing w:line="150" w:lineRule="atLeast"/>
        <w:jc w:val="both"/>
        <w:rPr>
          <w:sz w:val="28"/>
        </w:rPr>
      </w:pPr>
    </w:p>
    <w:p w:rsidR="00837844" w:rsidRDefault="00837844" w:rsidP="00837844">
      <w:pPr>
        <w:spacing w:line="150" w:lineRule="atLeast"/>
        <w:ind w:left="4253"/>
        <w:jc w:val="both"/>
        <w:rPr>
          <w:sz w:val="28"/>
        </w:rPr>
      </w:pPr>
    </w:p>
    <w:p w:rsidR="00837844" w:rsidRDefault="00837844" w:rsidP="00837844">
      <w:pPr>
        <w:spacing w:line="340" w:lineRule="exact"/>
        <w:ind w:left="4248"/>
        <w:jc w:val="both"/>
        <w:rPr>
          <w:bCs/>
        </w:rPr>
      </w:pPr>
      <w:r>
        <w:rPr>
          <w:bCs/>
        </w:rPr>
        <w:t>Institui no município de Formiga / MG  a   contribuição     para custeio da Iluminação Pública prevista no artigo 149-A da Constituição Federal.</w:t>
      </w:r>
    </w:p>
    <w:p w:rsidR="00837844" w:rsidRDefault="00837844" w:rsidP="00837844">
      <w:pPr>
        <w:spacing w:line="340" w:lineRule="exact"/>
        <w:ind w:left="2124"/>
        <w:jc w:val="both"/>
        <w:rPr>
          <w:bCs/>
          <w:sz w:val="28"/>
        </w:rPr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 xml:space="preserve">Art. 1º.:    </w:t>
      </w:r>
      <w:r>
        <w:t>Fica instituída no Município de Formiga/MG a Contribuição para Custeio do Serviço de Iluminação Pública – CIP, prevista no artigo 149-A da Constituição Federal.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Parágrafo Primeiro</w:t>
      </w:r>
      <w:r>
        <w:t>: O serviço no “</w:t>
      </w:r>
      <w:r>
        <w:rPr>
          <w:i/>
          <w:iCs/>
        </w:rPr>
        <w:t>caput</w:t>
      </w:r>
      <w:r>
        <w:t>” deste artigo compreende o consumo de energia destinada à iluminação de vias, logradouros e demais bens de uso público.</w:t>
      </w:r>
    </w:p>
    <w:p w:rsidR="00837844" w:rsidRDefault="00837844" w:rsidP="00837844">
      <w:pPr>
        <w:jc w:val="both"/>
      </w:pPr>
    </w:p>
    <w:p w:rsidR="00837844" w:rsidRDefault="00837844" w:rsidP="00837844">
      <w:pPr>
        <w:jc w:val="both"/>
      </w:pPr>
      <w:r>
        <w:t>Parágrafo Segundo.: O excedente arrecadado será obrigatoriamente utilizado para instalação, melhoramento e a expansão da rede da iluminação pública, além do custeio previsto no parágrafo anterior.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Art. 2º.:</w:t>
      </w:r>
      <w:r>
        <w:t xml:space="preserve">    É fato gerador da CIP o consumo de energia elétrica por pessoa natural ou jurídica, bem como os serviços de iluminação colocados à disposição, mediante ligação regular de energia elétrica no território do Município.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Art. 3º.:</w:t>
      </w:r>
      <w:r>
        <w:t xml:space="preserve">  Sujeito passivo da CIP é o consumidor de energia elétrica residente ou estabelecido no território do Município, que esteja cadastrado junto à concessionária distribuidora de energia elétrica titular da concessão no território do Município, e os proprietários e possuidores a qualquer título de imóveis não edificados (lotes) beneficiados com  os serviços de iluminação pública.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Art. 4º.:</w:t>
      </w:r>
      <w:r>
        <w:t xml:space="preserve">       A base de cálculo da CIP é o valor mensal do consumo e fornecimento total de energia elétrica constante na fatura emitida pela empresa concessionária distribuidora, excluídos todos os tributos e encargos cobrados na nota fiscal da conta de energia elétrica.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Parágrafo Primeiro:</w:t>
      </w:r>
      <w:r>
        <w:t xml:space="preserve"> No caso de imóveis não edificados (lotes) a cobrança da contribuição de que trata esta lei, será procedida conforme tabela anexa (Anexo II), calculada em UFPMF – Unidade Fiscal da Prefeitura Municipal de Formiga – cujo valor consta no Código Tributário Municipal e será reajustado, anualmente, pela aplicação do Índice Nacional de Preços ao Consumidor – INPC, ou outro que venha a substituí-lo.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Parágrafo Segundo</w:t>
      </w:r>
      <w:r>
        <w:t>.: Fica isenta da contribuição a pessoa natural proprietária ou possuidora a qualquer título de l (um) imóvel não edificado.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Art. 5º.:</w:t>
      </w:r>
      <w:r>
        <w:t xml:space="preserve">       As alíquotas de contribuição são diferenciadas conforme a classe de consumidores e a quantidade de consumo medida em KW/h, conforme a tabela anexa (Anexo I), que é parte integrante desta lei.</w:t>
      </w:r>
    </w:p>
    <w:p w:rsidR="00837844" w:rsidRDefault="00837844" w:rsidP="00837844">
      <w:pPr>
        <w:jc w:val="both"/>
      </w:pPr>
    </w:p>
    <w:p w:rsidR="00837844" w:rsidRDefault="00837844" w:rsidP="00837844">
      <w:pPr>
        <w:jc w:val="both"/>
        <w:rPr>
          <w:b/>
          <w:bCs/>
        </w:rPr>
      </w:pPr>
    </w:p>
    <w:p w:rsidR="00837844" w:rsidRDefault="00837844" w:rsidP="00837844">
      <w:pPr>
        <w:jc w:val="both"/>
        <w:rPr>
          <w:b/>
          <w:bCs/>
        </w:rPr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Parágrafo 1º.:</w:t>
      </w:r>
      <w:r>
        <w:t xml:space="preserve">     Estão isentos da contribuição os consumidores da classe residencial com consumo de até 50KW/h e da classe rural com consumo até 70KW/h.</w:t>
      </w:r>
    </w:p>
    <w:p w:rsidR="00837844" w:rsidRDefault="00837844" w:rsidP="00837844">
      <w:pPr>
        <w:jc w:val="both"/>
      </w:pPr>
    </w:p>
    <w:p w:rsidR="00837844" w:rsidRDefault="00837844" w:rsidP="00837844">
      <w:pPr>
        <w:tabs>
          <w:tab w:val="left" w:pos="2160"/>
        </w:tabs>
        <w:jc w:val="both"/>
      </w:pPr>
      <w:r>
        <w:rPr>
          <w:b/>
          <w:bCs/>
        </w:rPr>
        <w:t xml:space="preserve">            Parágrafo 2º.:</w:t>
      </w:r>
      <w:r>
        <w:t xml:space="preserve">        A  determinação  da  classe/categoria  de  consumidor   observará   as normas da Agência Nacional de Energia Elétrica – ANEEL -  ou órgão regulador que vier a substituí-la.</w:t>
      </w:r>
    </w:p>
    <w:p w:rsidR="00837844" w:rsidRDefault="00837844" w:rsidP="00837844">
      <w:pPr>
        <w:tabs>
          <w:tab w:val="left" w:pos="2160"/>
        </w:tabs>
        <w:jc w:val="both"/>
      </w:pPr>
    </w:p>
    <w:p w:rsidR="00837844" w:rsidRDefault="00837844" w:rsidP="00837844">
      <w:pPr>
        <w:tabs>
          <w:tab w:val="left" w:pos="2160"/>
        </w:tabs>
        <w:jc w:val="both"/>
      </w:pPr>
      <w:r>
        <w:t>Parágrafo Terceiro.: Os valores de contribuição terão como limite máximo o de 50% (cinqüenta por cento) da UFPMF.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lastRenderedPageBreak/>
        <w:t>Art. 6º.:</w:t>
      </w:r>
      <w:r>
        <w:t xml:space="preserve">       A CIP será lançada, mensalmente, para pagamento juntamente com a fatura mensal de energia elétrica, e no caso de imóveis não edificados será lançada anualmente juntamente com a guia de arrecadação do IPTU.</w:t>
      </w:r>
    </w:p>
    <w:p w:rsidR="00837844" w:rsidRDefault="00837844" w:rsidP="00837844">
      <w:pPr>
        <w:jc w:val="both"/>
      </w:pPr>
    </w:p>
    <w:p w:rsidR="00837844" w:rsidRDefault="00837844" w:rsidP="00837844">
      <w:pPr>
        <w:pStyle w:val="Corpodetexto2"/>
        <w:ind w:firstLine="709"/>
        <w:rPr>
          <w:sz w:val="24"/>
        </w:rPr>
      </w:pPr>
      <w:r>
        <w:rPr>
          <w:b/>
          <w:bCs/>
          <w:sz w:val="24"/>
        </w:rPr>
        <w:t>Parágrafo 1º.:</w:t>
      </w:r>
      <w:r>
        <w:rPr>
          <w:sz w:val="24"/>
        </w:rPr>
        <w:t xml:space="preserve">       O  Município  conveniará  ou  contratará  com  a  Concessionária de Energia Elétrica a forma de cobrança e repasse dos recursos relativos à contribuição.</w:t>
      </w:r>
    </w:p>
    <w:p w:rsidR="00837844" w:rsidRDefault="00837844" w:rsidP="00837844">
      <w:pPr>
        <w:jc w:val="both"/>
      </w:pPr>
    </w:p>
    <w:p w:rsidR="00837844" w:rsidRDefault="00837844" w:rsidP="00837844">
      <w:pPr>
        <w:ind w:firstLine="709"/>
        <w:jc w:val="both"/>
      </w:pPr>
      <w:r>
        <w:rPr>
          <w:b/>
          <w:bCs/>
        </w:rPr>
        <w:t>Parágrafo 2º.:</w:t>
      </w:r>
      <w:r>
        <w:t xml:space="preserve">    O  convênio  a que  se  refere o “</w:t>
      </w:r>
      <w:r>
        <w:rPr>
          <w:i/>
          <w:iCs/>
        </w:rPr>
        <w:t>caput</w:t>
      </w:r>
      <w:r>
        <w:t>” deste  artigo deverá, obrigatoriamente, prever repasse imediato do valor arrecadado pela concessionária ao Município, retendo os valores necessários ao pagamento da energia fornecida para a iluminação pública e os valores fixados para remuneração dos custos de arrecadação e de débitos que, eventualmente, o Município tenha ou venha a ter com a concessionária, relativos aos serviços supra citados.</w:t>
      </w:r>
    </w:p>
    <w:p w:rsidR="00837844" w:rsidRDefault="00837844" w:rsidP="00837844">
      <w:pPr>
        <w:jc w:val="both"/>
      </w:pPr>
    </w:p>
    <w:p w:rsidR="00837844" w:rsidRDefault="00837844" w:rsidP="00837844">
      <w:pPr>
        <w:pStyle w:val="Corpodetexto2"/>
        <w:ind w:firstLine="709"/>
        <w:rPr>
          <w:sz w:val="24"/>
        </w:rPr>
      </w:pPr>
      <w:r>
        <w:rPr>
          <w:b/>
          <w:bCs/>
          <w:sz w:val="24"/>
        </w:rPr>
        <w:t>Parágrafo 3º.:</w:t>
      </w:r>
      <w:r>
        <w:rPr>
          <w:sz w:val="24"/>
        </w:rPr>
        <w:t xml:space="preserve">         O  montante  devido  e  não   pago   da   CIP  a  que se refere o “caput” deste artigo será inscrito em dívida ativa, 60 (sessenta) dias após a verificação da inadimplência.</w:t>
      </w:r>
    </w:p>
    <w:p w:rsidR="00837844" w:rsidRDefault="00837844" w:rsidP="00837844">
      <w:pPr>
        <w:tabs>
          <w:tab w:val="left" w:pos="1980"/>
        </w:tabs>
        <w:jc w:val="both"/>
      </w:pPr>
    </w:p>
    <w:p w:rsidR="00837844" w:rsidRDefault="00837844" w:rsidP="00837844">
      <w:pPr>
        <w:tabs>
          <w:tab w:val="left" w:pos="1980"/>
        </w:tabs>
        <w:jc w:val="both"/>
      </w:pPr>
      <w:r>
        <w:rPr>
          <w:b/>
          <w:bCs/>
        </w:rPr>
        <w:t xml:space="preserve">           Parágrafo 4º.:</w:t>
      </w:r>
      <w:r>
        <w:t xml:space="preserve">           Servirá como título hábil para a inscrição:</w:t>
      </w:r>
    </w:p>
    <w:p w:rsidR="00837844" w:rsidRDefault="00837844" w:rsidP="00837844">
      <w:pPr>
        <w:tabs>
          <w:tab w:val="left" w:pos="1980"/>
        </w:tabs>
        <w:jc w:val="both"/>
      </w:pPr>
    </w:p>
    <w:p w:rsidR="00837844" w:rsidRDefault="00837844" w:rsidP="00837844">
      <w:pPr>
        <w:pStyle w:val="Corpodetexto2"/>
        <w:rPr>
          <w:sz w:val="24"/>
        </w:rPr>
      </w:pPr>
      <w:r>
        <w:rPr>
          <w:sz w:val="24"/>
        </w:rPr>
        <w:t xml:space="preserve">                                 I -       a comunicação do não pagamento efetuado pela concessionária    </w:t>
      </w:r>
    </w:p>
    <w:p w:rsidR="00837844" w:rsidRDefault="00837844" w:rsidP="00837844">
      <w:pPr>
        <w:pStyle w:val="Corpodetexto2"/>
        <w:rPr>
          <w:sz w:val="24"/>
        </w:rPr>
      </w:pPr>
      <w:r>
        <w:rPr>
          <w:sz w:val="24"/>
        </w:rPr>
        <w:t xml:space="preserve">                                            que  contenha  os  elementos previstos no art. 202 e incisos do </w:t>
      </w:r>
    </w:p>
    <w:p w:rsidR="00837844" w:rsidRDefault="00837844" w:rsidP="00837844">
      <w:pPr>
        <w:pStyle w:val="Corpodetexto2"/>
        <w:rPr>
          <w:sz w:val="24"/>
        </w:rPr>
      </w:pPr>
      <w:r>
        <w:rPr>
          <w:sz w:val="24"/>
        </w:rPr>
        <w:t xml:space="preserve">                                            código Tributário Nacional;</w:t>
      </w:r>
    </w:p>
    <w:p w:rsidR="00837844" w:rsidRDefault="00837844" w:rsidP="00837844">
      <w:pPr>
        <w:numPr>
          <w:ilvl w:val="0"/>
          <w:numId w:val="1"/>
        </w:numPr>
        <w:tabs>
          <w:tab w:val="left" w:pos="1980"/>
        </w:tabs>
        <w:jc w:val="both"/>
      </w:pPr>
      <w:r>
        <w:t>a duplicata da fatura de energia elétrica não paga;</w:t>
      </w:r>
    </w:p>
    <w:p w:rsidR="00837844" w:rsidRDefault="00837844" w:rsidP="00837844">
      <w:pPr>
        <w:numPr>
          <w:ilvl w:val="0"/>
          <w:numId w:val="1"/>
        </w:numPr>
        <w:tabs>
          <w:tab w:val="left" w:pos="1980"/>
        </w:tabs>
        <w:jc w:val="both"/>
      </w:pPr>
      <w:r>
        <w:t>outro documento que contenha os elementos previstos no art. 202 e incisos do Código Tributário Nacional.</w:t>
      </w:r>
    </w:p>
    <w:p w:rsidR="00837844" w:rsidRDefault="00837844" w:rsidP="00837844">
      <w:pPr>
        <w:tabs>
          <w:tab w:val="left" w:pos="1980"/>
        </w:tabs>
        <w:jc w:val="both"/>
      </w:pPr>
    </w:p>
    <w:p w:rsidR="00837844" w:rsidRDefault="00837844" w:rsidP="00837844">
      <w:pPr>
        <w:tabs>
          <w:tab w:val="left" w:pos="1980"/>
        </w:tabs>
        <w:jc w:val="both"/>
      </w:pPr>
      <w:r>
        <w:rPr>
          <w:b/>
          <w:bCs/>
        </w:rPr>
        <w:t xml:space="preserve">           Parágrafo 5º.:</w:t>
      </w:r>
      <w:r>
        <w:t xml:space="preserve">           Os valores da CIP não pagos no vencimento serão acrescidos de juros de mora, multa e correção monetária, nos termos da legislação tributária municipal.</w:t>
      </w:r>
    </w:p>
    <w:p w:rsidR="00837844" w:rsidRDefault="00837844" w:rsidP="00837844">
      <w:pPr>
        <w:tabs>
          <w:tab w:val="left" w:pos="1980"/>
        </w:tabs>
        <w:jc w:val="both"/>
      </w:pPr>
    </w:p>
    <w:p w:rsidR="00837844" w:rsidRDefault="00837844" w:rsidP="00837844">
      <w:pPr>
        <w:pStyle w:val="Corpodetexto2"/>
        <w:tabs>
          <w:tab w:val="left" w:pos="1440"/>
        </w:tabs>
        <w:rPr>
          <w:sz w:val="24"/>
        </w:rPr>
      </w:pPr>
      <w:r>
        <w:rPr>
          <w:b/>
          <w:bCs/>
          <w:sz w:val="24"/>
        </w:rPr>
        <w:t xml:space="preserve">          Art. 7º.:</w:t>
      </w:r>
      <w:r>
        <w:rPr>
          <w:sz w:val="24"/>
        </w:rPr>
        <w:t xml:space="preserve">           Fica criado o Fundo Municipal de Iluminação Pública, de natureza contábil e administrado pela Secretaria da Fazenda Municipal.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both"/>
      </w:pPr>
      <w:r>
        <w:rPr>
          <w:b/>
          <w:bCs/>
        </w:rPr>
        <w:t xml:space="preserve">           Parágrafo Único</w:t>
      </w:r>
      <w:r>
        <w:t>; Para o Fundo deverão ser destinados todos os recursos arrecadados com a CIP para custear os serviços de iluminação pública previstos nesta lei.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pStyle w:val="Corpodetexto2"/>
        <w:tabs>
          <w:tab w:val="left" w:pos="1440"/>
        </w:tabs>
        <w:rPr>
          <w:sz w:val="24"/>
        </w:rPr>
      </w:pPr>
      <w:r>
        <w:rPr>
          <w:b/>
          <w:bCs/>
          <w:sz w:val="24"/>
        </w:rPr>
        <w:t xml:space="preserve">           Art. 8º.:</w:t>
      </w:r>
      <w:r>
        <w:rPr>
          <w:sz w:val="24"/>
        </w:rPr>
        <w:t xml:space="preserve">           O   Poder  Executivo  regulamentará   a   aplicação  desta  lei no prazo de 60 (sessenta) dias a contar da sua publicação.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both"/>
        <w:rPr>
          <w:b/>
          <w:bCs/>
        </w:rPr>
      </w:pPr>
    </w:p>
    <w:p w:rsidR="00837844" w:rsidRDefault="00837844" w:rsidP="00837844">
      <w:pPr>
        <w:tabs>
          <w:tab w:val="left" w:pos="1440"/>
          <w:tab w:val="left" w:pos="1980"/>
        </w:tabs>
        <w:jc w:val="both"/>
        <w:rPr>
          <w:b/>
          <w:bCs/>
        </w:rPr>
      </w:pPr>
    </w:p>
    <w:p w:rsidR="00837844" w:rsidRDefault="00837844" w:rsidP="00837844">
      <w:pPr>
        <w:tabs>
          <w:tab w:val="left" w:pos="1440"/>
          <w:tab w:val="left" w:pos="1980"/>
        </w:tabs>
        <w:jc w:val="both"/>
      </w:pPr>
      <w:r>
        <w:rPr>
          <w:b/>
          <w:bCs/>
        </w:rPr>
        <w:t xml:space="preserve">            Art. 9º.:</w:t>
      </w:r>
      <w:r>
        <w:t xml:space="preserve">            Fica o Poder Executivo autorizado a firmar com a CEMIG – Centrais Elétricas de Minas Gerais, o convênio ou contrato a que se refere o art. 6º.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both"/>
      </w:pPr>
      <w:r>
        <w:rPr>
          <w:b/>
          <w:bCs/>
        </w:rPr>
        <w:t xml:space="preserve">          Art. 10º.:</w:t>
      </w:r>
      <w:r>
        <w:t xml:space="preserve">                Esta lei entra em vigor na data da sua publicação, revoga as disposições em contrário.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both"/>
      </w:pPr>
      <w:r>
        <w:t xml:space="preserve">     Gabinete do Prefeito de Formiga/MG, 30 de Dezembro de 2002.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both"/>
      </w:pPr>
      <w:r>
        <w:t xml:space="preserve">                                 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tabs>
          <w:tab w:val="left" w:pos="1440"/>
          <w:tab w:val="left" w:pos="198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37844" w:rsidRDefault="00837844" w:rsidP="00837844">
      <w:pPr>
        <w:tabs>
          <w:tab w:val="left" w:pos="1440"/>
          <w:tab w:val="left" w:pos="1980"/>
        </w:tabs>
        <w:jc w:val="center"/>
      </w:pPr>
      <w:r>
        <w:t>Prefeito Municipal</w:t>
      </w:r>
    </w:p>
    <w:p w:rsidR="00837844" w:rsidRDefault="00837844" w:rsidP="00837844">
      <w:pPr>
        <w:tabs>
          <w:tab w:val="left" w:pos="1440"/>
          <w:tab w:val="left" w:pos="1980"/>
        </w:tabs>
        <w:jc w:val="both"/>
      </w:pPr>
    </w:p>
    <w:p w:rsidR="00837844" w:rsidRDefault="00837844" w:rsidP="008378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ANTÔNIO FERNANDES TONINHO COSTA</w:t>
      </w:r>
    </w:p>
    <w:p w:rsidR="00837844" w:rsidRDefault="00837844" w:rsidP="00837844">
      <w:pPr>
        <w:pStyle w:val="BlockQuotation"/>
        <w:widowControl/>
        <w:ind w:left="0" w:right="0"/>
        <w:jc w:val="center"/>
        <w:rPr>
          <w:sz w:val="36"/>
        </w:rPr>
      </w:pPr>
      <w:r>
        <w:t>Secretario Chefe de Gabinete Interino</w:t>
      </w:r>
    </w:p>
    <w:p w:rsidR="00837844" w:rsidRDefault="00837844" w:rsidP="00837844">
      <w:pPr>
        <w:pStyle w:val="Ttulo6"/>
        <w:rPr>
          <w:sz w:val="36"/>
        </w:rPr>
      </w:pPr>
      <w:r>
        <w:rPr>
          <w:sz w:val="36"/>
        </w:rPr>
        <w:t>ANEXO I</w:t>
      </w:r>
    </w:p>
    <w:p w:rsidR="00837844" w:rsidRDefault="00837844" w:rsidP="00837844"/>
    <w:p w:rsidR="00837844" w:rsidRDefault="00837844" w:rsidP="00837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240"/>
        <w:gridCol w:w="1708"/>
      </w:tblGrid>
      <w:tr w:rsidR="00837844" w:rsidTr="00434B96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837844" w:rsidRDefault="00837844" w:rsidP="00434B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CLASSE</w:t>
            </w:r>
          </w:p>
        </w:tc>
        <w:tc>
          <w:tcPr>
            <w:tcW w:w="3240" w:type="dxa"/>
          </w:tcPr>
          <w:p w:rsidR="00837844" w:rsidRDefault="00837844" w:rsidP="00434B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CONSUMO KWh</w:t>
            </w:r>
          </w:p>
        </w:tc>
        <w:tc>
          <w:tcPr>
            <w:tcW w:w="1708" w:type="dxa"/>
          </w:tcPr>
          <w:p w:rsidR="00837844" w:rsidRDefault="00837844" w:rsidP="00434B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ALÍQUOTA %</w:t>
            </w:r>
          </w:p>
        </w:tc>
      </w:tr>
      <w:tr w:rsidR="00837844" w:rsidTr="00434B96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>Residencial/Comercial/Industrial/Serviço e Poder Público</w:t>
            </w:r>
          </w:p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>Valor do KWh = R$</w:t>
            </w:r>
          </w:p>
        </w:tc>
        <w:tc>
          <w:tcPr>
            <w:tcW w:w="3240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Até 50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1 a"/>
              </w:smartTagPr>
              <w:r>
                <w:rPr>
                  <w:sz w:val="28"/>
                </w:rPr>
                <w:t>51 a</w:t>
              </w:r>
            </w:smartTag>
            <w:r>
              <w:rPr>
                <w:sz w:val="28"/>
              </w:rPr>
              <w:t xml:space="preserve"> 80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1 a"/>
              </w:smartTagPr>
              <w:r>
                <w:rPr>
                  <w:sz w:val="28"/>
                </w:rPr>
                <w:t>81 a</w:t>
              </w:r>
            </w:smartTag>
            <w:r>
              <w:rPr>
                <w:sz w:val="28"/>
              </w:rPr>
              <w:t xml:space="preserve"> 100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>
                <w:rPr>
                  <w:sz w:val="28"/>
                </w:rPr>
                <w:t>101 a</w:t>
              </w:r>
            </w:smartTag>
            <w:r>
              <w:rPr>
                <w:sz w:val="28"/>
              </w:rPr>
              <w:t xml:space="preserve"> 150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>
                <w:rPr>
                  <w:sz w:val="28"/>
                </w:rPr>
                <w:t>151 a</w:t>
              </w:r>
            </w:smartTag>
            <w:r>
              <w:rPr>
                <w:sz w:val="28"/>
              </w:rPr>
              <w:t xml:space="preserve"> 200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01 a"/>
              </w:smartTagPr>
              <w:r>
                <w:rPr>
                  <w:sz w:val="28"/>
                </w:rPr>
                <w:t>201 a</w:t>
              </w:r>
            </w:smartTag>
            <w:r>
              <w:rPr>
                <w:sz w:val="28"/>
              </w:rPr>
              <w:t xml:space="preserve"> 300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Acima de 300</w:t>
            </w:r>
          </w:p>
        </w:tc>
        <w:tc>
          <w:tcPr>
            <w:tcW w:w="1708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Isento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 w:rsidR="00837844" w:rsidTr="00434B96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>Rural</w:t>
            </w:r>
          </w:p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>Valor do KWh = R$</w:t>
            </w:r>
          </w:p>
        </w:tc>
        <w:tc>
          <w:tcPr>
            <w:tcW w:w="3240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Até 70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71 a"/>
              </w:smartTagPr>
              <w:r>
                <w:rPr>
                  <w:sz w:val="28"/>
                </w:rPr>
                <w:t>71 a</w:t>
              </w:r>
            </w:smartTag>
            <w:r>
              <w:rPr>
                <w:sz w:val="28"/>
              </w:rPr>
              <w:t xml:space="preserve"> 100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1 a"/>
              </w:smartTagPr>
              <w:r>
                <w:rPr>
                  <w:sz w:val="28"/>
                </w:rPr>
                <w:t>101 a</w:t>
              </w:r>
            </w:smartTag>
            <w:r>
              <w:rPr>
                <w:sz w:val="28"/>
              </w:rPr>
              <w:t xml:space="preserve"> 200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1 a"/>
              </w:smartTagPr>
              <w:r>
                <w:rPr>
                  <w:sz w:val="28"/>
                </w:rPr>
                <w:t>201 a</w:t>
              </w:r>
            </w:smartTag>
            <w:r>
              <w:rPr>
                <w:sz w:val="28"/>
              </w:rPr>
              <w:t xml:space="preserve"> 300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Acima de 300</w:t>
            </w:r>
          </w:p>
        </w:tc>
        <w:tc>
          <w:tcPr>
            <w:tcW w:w="1708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Isento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</w:tbl>
    <w:p w:rsidR="00837844" w:rsidRDefault="00837844" w:rsidP="00837844"/>
    <w:p w:rsidR="00837844" w:rsidRDefault="00837844" w:rsidP="00837844">
      <w:pPr>
        <w:pStyle w:val="Ttulo7"/>
      </w:pPr>
    </w:p>
    <w:p w:rsidR="00837844" w:rsidRDefault="00837844" w:rsidP="00837844">
      <w:pPr>
        <w:pStyle w:val="Ttulo7"/>
      </w:pPr>
      <w:r>
        <w:t>ANEXO II</w:t>
      </w:r>
    </w:p>
    <w:p w:rsidR="00837844" w:rsidRDefault="00837844" w:rsidP="00837844"/>
    <w:p w:rsidR="00837844" w:rsidRDefault="00837844" w:rsidP="00837844"/>
    <w:p w:rsidR="00837844" w:rsidRDefault="00837844" w:rsidP="00837844"/>
    <w:p w:rsidR="00837844" w:rsidRDefault="00837844" w:rsidP="00837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837844" w:rsidTr="00434B96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837844" w:rsidRDefault="00837844" w:rsidP="00434B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METRO LINEAR - TESTADA</w:t>
            </w:r>
          </w:p>
        </w:tc>
        <w:tc>
          <w:tcPr>
            <w:tcW w:w="4489" w:type="dxa"/>
          </w:tcPr>
          <w:p w:rsidR="00837844" w:rsidRDefault="00837844" w:rsidP="00434B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UFPMF</w:t>
            </w:r>
          </w:p>
        </w:tc>
      </w:tr>
      <w:tr w:rsidR="00837844" w:rsidTr="00434B9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489" w:type="dxa"/>
          </w:tcPr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 xml:space="preserve">Até </w:t>
            </w:r>
            <w:smartTag w:uri="urn:schemas-microsoft-com:office:smarttags" w:element="metricconverter">
              <w:smartTagPr>
                <w:attr w:name="ProductID" w:val="10,00 metros"/>
              </w:smartTagPr>
              <w:r>
                <w:rPr>
                  <w:sz w:val="28"/>
                </w:rPr>
                <w:t>10,00 metros</w:t>
              </w:r>
            </w:smartTag>
          </w:p>
        </w:tc>
        <w:tc>
          <w:tcPr>
            <w:tcW w:w="4489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 anual</w:t>
            </w:r>
          </w:p>
        </w:tc>
      </w:tr>
      <w:tr w:rsidR="00837844" w:rsidTr="00434B9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489" w:type="dxa"/>
          </w:tcPr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,01 a"/>
              </w:smartTagPr>
              <w:r>
                <w:rPr>
                  <w:sz w:val="28"/>
                </w:rPr>
                <w:t>10,01 a</w:t>
              </w:r>
            </w:smartTag>
            <w:r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,00 metros"/>
              </w:smartTagPr>
              <w:r>
                <w:rPr>
                  <w:sz w:val="28"/>
                </w:rPr>
                <w:t>15,00 metros</w:t>
              </w:r>
            </w:smartTag>
          </w:p>
        </w:tc>
        <w:tc>
          <w:tcPr>
            <w:tcW w:w="4489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 anual</w:t>
            </w:r>
          </w:p>
        </w:tc>
      </w:tr>
      <w:tr w:rsidR="00837844" w:rsidTr="00434B9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489" w:type="dxa"/>
          </w:tcPr>
          <w:p w:rsidR="00837844" w:rsidRDefault="00837844" w:rsidP="00434B96">
            <w:pPr>
              <w:rPr>
                <w:sz w:val="28"/>
              </w:rPr>
            </w:pPr>
            <w:r>
              <w:rPr>
                <w:sz w:val="28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15,00 metros"/>
              </w:smartTagPr>
              <w:r>
                <w:rPr>
                  <w:sz w:val="28"/>
                </w:rPr>
                <w:t>15,00 metros</w:t>
              </w:r>
            </w:smartTag>
          </w:p>
        </w:tc>
        <w:tc>
          <w:tcPr>
            <w:tcW w:w="4489" w:type="dxa"/>
          </w:tcPr>
          <w:p w:rsidR="00837844" w:rsidRDefault="00837844" w:rsidP="0043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0,20 anual</w:t>
            </w:r>
          </w:p>
        </w:tc>
      </w:tr>
    </w:tbl>
    <w:p w:rsidR="00837844" w:rsidRDefault="00837844" w:rsidP="00837844"/>
    <w:p w:rsidR="0030374B" w:rsidRDefault="00837844">
      <w:bookmarkStart w:id="0" w:name="_GoBack"/>
      <w:bookmarkEnd w:id="0"/>
    </w:p>
    <w:sectPr w:rsidR="0030374B" w:rsidSect="008B11F0">
      <w:pgSz w:w="12242" w:h="18722" w:code="14"/>
      <w:pgMar w:top="1418" w:right="902" w:bottom="16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B25"/>
    <w:multiLevelType w:val="hybridMultilevel"/>
    <w:tmpl w:val="85BA94F8"/>
    <w:lvl w:ilvl="0" w:tplc="9D429130">
      <w:start w:val="2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44"/>
    <w:rsid w:val="000A2C50"/>
    <w:rsid w:val="00147E9B"/>
    <w:rsid w:val="004662F0"/>
    <w:rsid w:val="005B4ECA"/>
    <w:rsid w:val="0070535B"/>
    <w:rsid w:val="00757829"/>
    <w:rsid w:val="0083784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C853-8506-426B-AC44-913ECEEA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37844"/>
    <w:pPr>
      <w:keepNext/>
      <w:jc w:val="center"/>
      <w:outlineLvl w:val="5"/>
    </w:pPr>
    <w:rPr>
      <w:b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837844"/>
    <w:pPr>
      <w:keepNext/>
      <w:jc w:val="center"/>
      <w:outlineLvl w:val="6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784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3784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837844"/>
    <w:pPr>
      <w:widowControl w:val="0"/>
      <w:ind w:left="3402" w:right="-65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837844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3784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2018-08-30T14:37:00Z</dcterms:created>
  <dcterms:modified xsi:type="dcterms:W3CDTF">2018-08-30T14:37:00Z</dcterms:modified>
</cp:coreProperties>
</file>