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AB" w:rsidRPr="00DF7C84" w:rsidRDefault="00D407AB" w:rsidP="00D407AB">
      <w:pPr>
        <w:jc w:val="center"/>
        <w:rPr>
          <w:b/>
          <w:i/>
          <w:sz w:val="24"/>
          <w:szCs w:val="24"/>
        </w:rPr>
      </w:pPr>
      <w:r w:rsidRPr="00DF7C84">
        <w:rPr>
          <w:b/>
          <w:i/>
          <w:sz w:val="24"/>
          <w:szCs w:val="24"/>
        </w:rPr>
        <w:t>LEI</w:t>
      </w:r>
      <w:r>
        <w:rPr>
          <w:b/>
          <w:i/>
          <w:sz w:val="24"/>
          <w:szCs w:val="24"/>
        </w:rPr>
        <w:t xml:space="preserve"> Nº 3553, DE 08 DE ABRIL DE 2004.</w:t>
      </w:r>
    </w:p>
    <w:p w:rsidR="00D407AB" w:rsidRPr="00DF7C84" w:rsidRDefault="00D407AB" w:rsidP="00D407AB">
      <w:pPr>
        <w:jc w:val="both"/>
        <w:rPr>
          <w:b/>
          <w:i/>
          <w:sz w:val="24"/>
          <w:szCs w:val="24"/>
        </w:rPr>
      </w:pPr>
    </w:p>
    <w:p w:rsidR="00D407AB" w:rsidRPr="00DF7C84" w:rsidRDefault="00D407AB" w:rsidP="00D407AB">
      <w:pPr>
        <w:jc w:val="both"/>
        <w:rPr>
          <w:b/>
          <w:i/>
          <w:sz w:val="24"/>
          <w:szCs w:val="24"/>
        </w:rPr>
      </w:pPr>
    </w:p>
    <w:p w:rsidR="00D407AB" w:rsidRPr="00DF7C84" w:rsidRDefault="00D407AB" w:rsidP="00D407AB">
      <w:pPr>
        <w:jc w:val="both"/>
        <w:rPr>
          <w:b/>
          <w:i/>
          <w:sz w:val="24"/>
          <w:szCs w:val="24"/>
        </w:rPr>
      </w:pPr>
    </w:p>
    <w:p w:rsidR="00D407AB" w:rsidRPr="00DF7C84" w:rsidRDefault="00D407AB" w:rsidP="00D407AB">
      <w:pPr>
        <w:ind w:left="4140"/>
        <w:jc w:val="both"/>
        <w:rPr>
          <w:sz w:val="24"/>
          <w:szCs w:val="24"/>
        </w:rPr>
      </w:pPr>
      <w:r w:rsidRPr="00DF7C84">
        <w:rPr>
          <w:sz w:val="24"/>
          <w:szCs w:val="24"/>
        </w:rPr>
        <w:t xml:space="preserve">Dispõe sobre a </w:t>
      </w:r>
      <w:r>
        <w:rPr>
          <w:sz w:val="24"/>
          <w:szCs w:val="24"/>
        </w:rPr>
        <w:t>regularização de loteamentos constituídos</w:t>
      </w:r>
      <w:r w:rsidRPr="00DF7C84">
        <w:rPr>
          <w:sz w:val="24"/>
          <w:szCs w:val="24"/>
        </w:rPr>
        <w:t xml:space="preserve"> e dá outras providências.</w:t>
      </w:r>
    </w:p>
    <w:p w:rsidR="00D407AB" w:rsidRPr="00DF7C84" w:rsidRDefault="00D407AB" w:rsidP="00D407AB">
      <w:pPr>
        <w:ind w:left="4140"/>
        <w:jc w:val="both"/>
        <w:rPr>
          <w:sz w:val="24"/>
          <w:szCs w:val="24"/>
        </w:rPr>
      </w:pPr>
    </w:p>
    <w:p w:rsidR="00D407AB" w:rsidRPr="00DF7C84" w:rsidRDefault="00D407AB" w:rsidP="00D407AB">
      <w:pPr>
        <w:ind w:left="4140"/>
        <w:jc w:val="both"/>
        <w:rPr>
          <w:sz w:val="24"/>
          <w:szCs w:val="24"/>
        </w:rPr>
      </w:pPr>
    </w:p>
    <w:p w:rsidR="00D407AB" w:rsidRPr="00DF7C84" w:rsidRDefault="00D407AB" w:rsidP="00D407AB">
      <w:pPr>
        <w:ind w:left="4140"/>
        <w:jc w:val="both"/>
        <w:rPr>
          <w:sz w:val="24"/>
          <w:szCs w:val="24"/>
        </w:rPr>
      </w:pPr>
    </w:p>
    <w:p w:rsidR="00D407AB" w:rsidRPr="00DF7C84" w:rsidRDefault="00D407AB" w:rsidP="00D407AB">
      <w:pPr>
        <w:jc w:val="both"/>
        <w:rPr>
          <w:sz w:val="24"/>
          <w:szCs w:val="24"/>
        </w:rPr>
      </w:pPr>
      <w:r w:rsidRPr="00DF7C84">
        <w:rPr>
          <w:sz w:val="24"/>
          <w:szCs w:val="24"/>
        </w:rPr>
        <w:tab/>
      </w:r>
      <w:r w:rsidRPr="00DF7C84">
        <w:rPr>
          <w:sz w:val="24"/>
          <w:szCs w:val="24"/>
        </w:rPr>
        <w:tab/>
        <w:t xml:space="preserve">A CÂMARA MUNICIPAL DE </w:t>
      </w:r>
      <w:r>
        <w:rPr>
          <w:sz w:val="24"/>
          <w:szCs w:val="24"/>
        </w:rPr>
        <w:t>FORMIGA</w:t>
      </w:r>
      <w:r w:rsidRPr="00DF7C84">
        <w:rPr>
          <w:sz w:val="24"/>
          <w:szCs w:val="24"/>
        </w:rPr>
        <w:t xml:space="preserve"> APROVOU E EU SANCIONO A SEGUINTE LEI:</w:t>
      </w:r>
    </w:p>
    <w:p w:rsidR="00D407AB" w:rsidRPr="00DF7C84" w:rsidRDefault="00D407AB" w:rsidP="00D407AB">
      <w:pPr>
        <w:jc w:val="both"/>
        <w:rPr>
          <w:sz w:val="24"/>
          <w:szCs w:val="24"/>
        </w:rPr>
      </w:pPr>
    </w:p>
    <w:p w:rsidR="00D407AB" w:rsidRPr="00DF7C84" w:rsidRDefault="00D407AB" w:rsidP="00D407AB">
      <w:pPr>
        <w:jc w:val="both"/>
        <w:rPr>
          <w:sz w:val="24"/>
          <w:szCs w:val="24"/>
        </w:rPr>
      </w:pPr>
    </w:p>
    <w:p w:rsidR="00D407AB" w:rsidRPr="00DF7C84" w:rsidRDefault="00D407AB" w:rsidP="00D407AB">
      <w:pPr>
        <w:jc w:val="both"/>
        <w:rPr>
          <w:sz w:val="24"/>
          <w:szCs w:val="24"/>
        </w:rPr>
      </w:pPr>
    </w:p>
    <w:p w:rsidR="00D407AB" w:rsidRPr="00DF7C84" w:rsidRDefault="00D407AB" w:rsidP="00D407AB">
      <w:pPr>
        <w:jc w:val="both"/>
        <w:rPr>
          <w:sz w:val="24"/>
          <w:szCs w:val="24"/>
        </w:rPr>
      </w:pPr>
      <w:r w:rsidRPr="00DF7C84">
        <w:rPr>
          <w:sz w:val="24"/>
          <w:szCs w:val="24"/>
        </w:rPr>
        <w:tab/>
      </w:r>
      <w:r w:rsidRPr="00DF7C84">
        <w:rPr>
          <w:sz w:val="24"/>
          <w:szCs w:val="24"/>
        </w:rPr>
        <w:tab/>
      </w:r>
      <w:r w:rsidRPr="00DF7C84">
        <w:rPr>
          <w:b/>
          <w:sz w:val="24"/>
          <w:szCs w:val="24"/>
        </w:rPr>
        <w:t xml:space="preserve">Art. 1º </w:t>
      </w:r>
      <w:r w:rsidRPr="00DF7C84">
        <w:rPr>
          <w:sz w:val="24"/>
          <w:szCs w:val="24"/>
        </w:rPr>
        <w:t xml:space="preserve">Ficam </w:t>
      </w:r>
      <w:r>
        <w:rPr>
          <w:sz w:val="24"/>
          <w:szCs w:val="24"/>
        </w:rPr>
        <w:t>regularizados/</w:t>
      </w:r>
      <w:r w:rsidRPr="00DF7C84">
        <w:rPr>
          <w:sz w:val="24"/>
          <w:szCs w:val="24"/>
        </w:rPr>
        <w:t xml:space="preserve">convalidados todos os atos de aprovação e/ou autorização de loteamentos em áreas de preservação ambiental no âmbito do Município de </w:t>
      </w:r>
      <w:r>
        <w:rPr>
          <w:sz w:val="24"/>
          <w:szCs w:val="24"/>
        </w:rPr>
        <w:t>Formiga.</w:t>
      </w:r>
    </w:p>
    <w:p w:rsidR="00D407AB" w:rsidRPr="00DF7C84" w:rsidRDefault="00D407AB" w:rsidP="00D407AB">
      <w:pPr>
        <w:jc w:val="both"/>
        <w:rPr>
          <w:sz w:val="24"/>
          <w:szCs w:val="24"/>
        </w:rPr>
      </w:pPr>
    </w:p>
    <w:p w:rsidR="00D407AB" w:rsidRDefault="00D407AB" w:rsidP="00D407AB">
      <w:pPr>
        <w:jc w:val="both"/>
        <w:rPr>
          <w:sz w:val="24"/>
          <w:szCs w:val="24"/>
        </w:rPr>
      </w:pPr>
      <w:r w:rsidRPr="00DF7C84">
        <w:rPr>
          <w:sz w:val="24"/>
          <w:szCs w:val="24"/>
        </w:rPr>
        <w:tab/>
      </w:r>
      <w:r w:rsidRPr="00DF7C84">
        <w:rPr>
          <w:sz w:val="24"/>
          <w:szCs w:val="24"/>
        </w:rPr>
        <w:tab/>
      </w:r>
      <w:r w:rsidRPr="00DF7C84">
        <w:rPr>
          <w:b/>
          <w:sz w:val="24"/>
          <w:szCs w:val="24"/>
        </w:rPr>
        <w:t xml:space="preserve">§ 1º </w:t>
      </w:r>
      <w:r w:rsidRPr="00DF7C84">
        <w:rPr>
          <w:sz w:val="24"/>
          <w:szCs w:val="24"/>
        </w:rPr>
        <w:t xml:space="preserve">É vedado às concessionárias de serviço público fazer qualquer tipo de restrição ao proprietário do imóvel, sob fundamento de que o imóvel está em </w:t>
      </w:r>
      <w:r>
        <w:rPr>
          <w:sz w:val="24"/>
          <w:szCs w:val="24"/>
        </w:rPr>
        <w:t>área de preservação ambiental, bem como por ocasião de assinatura de Termo de Ajustamento de Conduta, tendo em vista que referidos Termos não têm força de sentença judicial.</w:t>
      </w:r>
    </w:p>
    <w:p w:rsidR="00D407AB" w:rsidRDefault="00D407AB" w:rsidP="00D407AB">
      <w:pPr>
        <w:jc w:val="both"/>
        <w:rPr>
          <w:sz w:val="24"/>
          <w:szCs w:val="24"/>
        </w:rPr>
      </w:pPr>
    </w:p>
    <w:p w:rsidR="00D407AB" w:rsidRPr="00F76AC0" w:rsidRDefault="00D407AB" w:rsidP="00D407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6AC0">
        <w:rPr>
          <w:b/>
          <w:sz w:val="24"/>
          <w:szCs w:val="24"/>
        </w:rPr>
        <w:t>§ 2</w:t>
      </w:r>
      <w:proofErr w:type="gramStart"/>
      <w:r w:rsidRPr="00F76AC0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vedação constante do parágrafo anterior se refere apenas aos loteamentos já aprovados pelo Poder Público, haja vista constituírem situações consolidadas.</w:t>
      </w:r>
    </w:p>
    <w:p w:rsidR="00D407AB" w:rsidRPr="00DF7C84" w:rsidRDefault="00D407AB" w:rsidP="00D407AB">
      <w:pPr>
        <w:jc w:val="both"/>
        <w:rPr>
          <w:sz w:val="24"/>
          <w:szCs w:val="24"/>
        </w:rPr>
      </w:pPr>
    </w:p>
    <w:p w:rsidR="00D407AB" w:rsidRPr="00DF7C84" w:rsidRDefault="00D407AB" w:rsidP="00D407AB">
      <w:pPr>
        <w:jc w:val="both"/>
        <w:rPr>
          <w:sz w:val="24"/>
          <w:szCs w:val="24"/>
        </w:rPr>
      </w:pPr>
      <w:r w:rsidRPr="00DF7C84">
        <w:rPr>
          <w:sz w:val="24"/>
          <w:szCs w:val="24"/>
        </w:rPr>
        <w:tab/>
      </w:r>
      <w:r w:rsidRPr="00DF7C84">
        <w:rPr>
          <w:sz w:val="24"/>
          <w:szCs w:val="24"/>
        </w:rPr>
        <w:tab/>
      </w:r>
      <w:r w:rsidRPr="00DF7C8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3</w:t>
      </w:r>
      <w:r w:rsidRPr="00DF7C84">
        <w:rPr>
          <w:b/>
          <w:sz w:val="24"/>
          <w:szCs w:val="24"/>
        </w:rPr>
        <w:t xml:space="preserve">º </w:t>
      </w:r>
      <w:r w:rsidRPr="00DF7C84">
        <w:rPr>
          <w:sz w:val="24"/>
          <w:szCs w:val="24"/>
        </w:rPr>
        <w:t>A concessionária que se negar a prestar o serviço a ela concedido ao proprietário e/ou possuidor de imóvel abrangido por esta Lei ficará sujeita a uma multa de 01 (uma) UFMPF por dia, para cada contribuinte que apresentar reclamação junto à Secretaria Municipal de Fazenda.</w:t>
      </w:r>
    </w:p>
    <w:p w:rsidR="00D407AB" w:rsidRPr="00DF7C84" w:rsidRDefault="00D407AB" w:rsidP="00D407AB">
      <w:pPr>
        <w:jc w:val="both"/>
        <w:rPr>
          <w:sz w:val="24"/>
          <w:szCs w:val="24"/>
        </w:rPr>
      </w:pPr>
    </w:p>
    <w:p w:rsidR="00D407AB" w:rsidRPr="00DF7C84" w:rsidRDefault="00D407AB" w:rsidP="00D407AB">
      <w:pPr>
        <w:jc w:val="both"/>
        <w:rPr>
          <w:sz w:val="24"/>
          <w:szCs w:val="24"/>
        </w:rPr>
      </w:pPr>
      <w:r w:rsidRPr="00DF7C84">
        <w:rPr>
          <w:sz w:val="24"/>
          <w:szCs w:val="24"/>
        </w:rPr>
        <w:tab/>
      </w:r>
      <w:r w:rsidRPr="00DF7C84">
        <w:rPr>
          <w:sz w:val="24"/>
          <w:szCs w:val="24"/>
        </w:rPr>
        <w:tab/>
      </w:r>
      <w:r w:rsidRPr="00DF7C84">
        <w:rPr>
          <w:b/>
          <w:sz w:val="24"/>
          <w:szCs w:val="24"/>
        </w:rPr>
        <w:t xml:space="preserve">Art. 2º </w:t>
      </w:r>
      <w:r w:rsidRPr="00DF7C84">
        <w:rPr>
          <w:sz w:val="24"/>
          <w:szCs w:val="24"/>
        </w:rPr>
        <w:t xml:space="preserve">A multa de que trata o parágrafo terceiro será </w:t>
      </w:r>
      <w:r>
        <w:rPr>
          <w:sz w:val="24"/>
          <w:szCs w:val="24"/>
        </w:rPr>
        <w:t>exigida</w:t>
      </w:r>
      <w:r w:rsidRPr="00DF7C84">
        <w:rPr>
          <w:sz w:val="24"/>
          <w:szCs w:val="24"/>
        </w:rPr>
        <w:t xml:space="preserve"> pela Secretaria Municipal de </w:t>
      </w:r>
      <w:proofErr w:type="gramStart"/>
      <w:r w:rsidRPr="00DF7C84">
        <w:rPr>
          <w:sz w:val="24"/>
          <w:szCs w:val="24"/>
        </w:rPr>
        <w:t>Fazenda,  através</w:t>
      </w:r>
      <w:proofErr w:type="gramEnd"/>
      <w:r w:rsidRPr="00DF7C84">
        <w:rPr>
          <w:sz w:val="24"/>
          <w:szCs w:val="24"/>
        </w:rPr>
        <w:t xml:space="preserve"> de guia de arrecadação.</w:t>
      </w:r>
    </w:p>
    <w:p w:rsidR="00D407AB" w:rsidRPr="00DF7C84" w:rsidRDefault="00D407AB" w:rsidP="00D407AB">
      <w:pPr>
        <w:jc w:val="both"/>
        <w:rPr>
          <w:sz w:val="24"/>
          <w:szCs w:val="24"/>
        </w:rPr>
      </w:pPr>
    </w:p>
    <w:p w:rsidR="00D407AB" w:rsidRPr="00DF7C84" w:rsidRDefault="00D407AB" w:rsidP="00D407AB">
      <w:pPr>
        <w:jc w:val="both"/>
        <w:rPr>
          <w:sz w:val="24"/>
          <w:szCs w:val="24"/>
        </w:rPr>
      </w:pPr>
      <w:r w:rsidRPr="00DF7C84">
        <w:rPr>
          <w:sz w:val="24"/>
          <w:szCs w:val="24"/>
        </w:rPr>
        <w:tab/>
      </w:r>
      <w:r w:rsidRPr="00DF7C84">
        <w:rPr>
          <w:sz w:val="24"/>
          <w:szCs w:val="24"/>
        </w:rPr>
        <w:tab/>
      </w:r>
      <w:r w:rsidRPr="00DF7C84">
        <w:rPr>
          <w:b/>
          <w:sz w:val="24"/>
          <w:szCs w:val="24"/>
        </w:rPr>
        <w:t xml:space="preserve">Art. 3º </w:t>
      </w:r>
      <w:r w:rsidRPr="00DF7C84">
        <w:rPr>
          <w:sz w:val="24"/>
          <w:szCs w:val="24"/>
        </w:rPr>
        <w:t xml:space="preserve">Como medidas </w:t>
      </w:r>
      <w:r>
        <w:rPr>
          <w:sz w:val="24"/>
          <w:szCs w:val="24"/>
        </w:rPr>
        <w:t>compensatórias</w:t>
      </w:r>
      <w:r w:rsidRPr="00DF7C84">
        <w:rPr>
          <w:sz w:val="24"/>
          <w:szCs w:val="24"/>
        </w:rPr>
        <w:t xml:space="preserve"> o Município fará o reflorestamento de matas ciliares, bem com o plantio mudas de árvores nativas, através da Secretaria Municipal de Meio Ambiente e Limpeza Urbana.</w:t>
      </w:r>
    </w:p>
    <w:p w:rsidR="00D407AB" w:rsidRPr="00DF7C84" w:rsidRDefault="00D407AB" w:rsidP="00D407AB">
      <w:pPr>
        <w:jc w:val="both"/>
        <w:rPr>
          <w:sz w:val="24"/>
          <w:szCs w:val="24"/>
        </w:rPr>
      </w:pPr>
    </w:p>
    <w:p w:rsidR="00D407AB" w:rsidRDefault="00D407AB" w:rsidP="00D407AB">
      <w:pPr>
        <w:jc w:val="both"/>
        <w:rPr>
          <w:sz w:val="24"/>
          <w:szCs w:val="24"/>
        </w:rPr>
      </w:pPr>
      <w:r w:rsidRPr="00DF7C84">
        <w:rPr>
          <w:sz w:val="24"/>
          <w:szCs w:val="24"/>
        </w:rPr>
        <w:tab/>
      </w:r>
      <w:r w:rsidRPr="00DF7C84">
        <w:rPr>
          <w:sz w:val="24"/>
          <w:szCs w:val="24"/>
        </w:rPr>
        <w:tab/>
      </w:r>
      <w:r w:rsidRPr="00DF7C84">
        <w:rPr>
          <w:b/>
          <w:sz w:val="24"/>
          <w:szCs w:val="24"/>
        </w:rPr>
        <w:t xml:space="preserve">§ 1º </w:t>
      </w:r>
      <w:r w:rsidRPr="00DF7C84">
        <w:rPr>
          <w:sz w:val="24"/>
          <w:szCs w:val="24"/>
        </w:rPr>
        <w:t>Cada proprietário e/ou possuidor de imóvel que se enquadrar nesta Lei deverá</w:t>
      </w:r>
      <w:r>
        <w:rPr>
          <w:sz w:val="24"/>
          <w:szCs w:val="24"/>
        </w:rPr>
        <w:t xml:space="preserve"> requerer, junto à Secretaria Municipal de Meio Ambiente e Limpeza Urbana, a emissão de Laudo apontando as medidas compensatórias a serem adotadas, para convalidação do ato a que se refere o artigo 1º desta Lei, nos termos do </w:t>
      </w:r>
      <w:r w:rsidRPr="00DF7C84">
        <w:rPr>
          <w:sz w:val="24"/>
          <w:szCs w:val="24"/>
        </w:rPr>
        <w:t>art. 13 e parágrafos da Lei Estadual nº 14.309, de 19 de junho de 2002</w:t>
      </w:r>
      <w:r>
        <w:rPr>
          <w:sz w:val="24"/>
          <w:szCs w:val="24"/>
        </w:rPr>
        <w:t>.</w:t>
      </w:r>
    </w:p>
    <w:p w:rsidR="00D407AB" w:rsidRDefault="00D407AB" w:rsidP="00D407AB">
      <w:pPr>
        <w:jc w:val="both"/>
        <w:rPr>
          <w:sz w:val="24"/>
          <w:szCs w:val="24"/>
        </w:rPr>
      </w:pPr>
    </w:p>
    <w:p w:rsidR="00D407AB" w:rsidRPr="00183770" w:rsidRDefault="00D407AB" w:rsidP="00D407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Após a emissão do Laudo definindo a situação ambiental do imóvel, a Secretaria Municipal de Meio Ambiente e Limpeza Urbana, em conjunto com o Conselho Municipal de Conservação e Defesa do Meio Ambiente - CODEMA, firmará Termo de Ajustamento de Conduta com cada proprietário.</w:t>
      </w:r>
    </w:p>
    <w:p w:rsidR="00D407AB" w:rsidRDefault="00D407AB" w:rsidP="00D407AB">
      <w:pPr>
        <w:jc w:val="both"/>
        <w:rPr>
          <w:sz w:val="24"/>
          <w:szCs w:val="24"/>
        </w:rPr>
      </w:pPr>
    </w:p>
    <w:p w:rsidR="00D407AB" w:rsidRDefault="00D407AB" w:rsidP="00D407A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3º </w:t>
      </w:r>
      <w:r>
        <w:rPr>
          <w:sz w:val="24"/>
          <w:szCs w:val="24"/>
        </w:rPr>
        <w:t>As medidas compensatórias poderão consistir em:</w:t>
      </w:r>
    </w:p>
    <w:p w:rsidR="00D407AB" w:rsidRDefault="00D407AB" w:rsidP="00D407AB">
      <w:pPr>
        <w:jc w:val="both"/>
        <w:rPr>
          <w:sz w:val="24"/>
          <w:szCs w:val="24"/>
        </w:rPr>
      </w:pPr>
    </w:p>
    <w:p w:rsidR="00D407AB" w:rsidRDefault="00D407AB" w:rsidP="00D407A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a) doação de mudas de árvores para que a Secretaria Municipal de Meio Ambiente e Limpeza Urbana faça seu plantio;</w:t>
      </w:r>
    </w:p>
    <w:p w:rsidR="00D407AB" w:rsidRDefault="00D407AB" w:rsidP="00D407AB">
      <w:pPr>
        <w:ind w:left="708" w:firstLine="708"/>
        <w:jc w:val="both"/>
        <w:rPr>
          <w:sz w:val="24"/>
          <w:szCs w:val="24"/>
        </w:rPr>
      </w:pPr>
    </w:p>
    <w:p w:rsidR="00D407AB" w:rsidRPr="00DF7C84" w:rsidRDefault="00D407AB" w:rsidP="00D407AB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indenização, em espécie, a ser repassada ao Fundo Municipal de Meio Ambiente, de acordo com a Pauta de Avaliação da Prefeitura Municipal </w:t>
      </w:r>
    </w:p>
    <w:p w:rsidR="00D407AB" w:rsidRPr="004E18D0" w:rsidRDefault="00D407AB" w:rsidP="00D407AB">
      <w:pPr>
        <w:jc w:val="both"/>
        <w:rPr>
          <w:sz w:val="24"/>
          <w:szCs w:val="24"/>
        </w:rPr>
      </w:pPr>
    </w:p>
    <w:p w:rsidR="00D407AB" w:rsidRPr="004E18D0" w:rsidRDefault="00D407AB" w:rsidP="00D407AB">
      <w:pPr>
        <w:jc w:val="both"/>
        <w:rPr>
          <w:sz w:val="24"/>
          <w:szCs w:val="24"/>
        </w:rPr>
      </w:pPr>
      <w:r w:rsidRPr="004E18D0">
        <w:rPr>
          <w:sz w:val="24"/>
          <w:szCs w:val="24"/>
        </w:rPr>
        <w:tab/>
      </w:r>
      <w:r w:rsidRPr="004E18D0">
        <w:rPr>
          <w:sz w:val="24"/>
          <w:szCs w:val="24"/>
        </w:rPr>
        <w:tab/>
      </w:r>
      <w:r w:rsidRPr="004E18D0">
        <w:rPr>
          <w:b/>
          <w:sz w:val="24"/>
          <w:szCs w:val="24"/>
        </w:rPr>
        <w:t xml:space="preserve">§ 4º </w:t>
      </w:r>
      <w:r w:rsidRPr="004E18D0">
        <w:rPr>
          <w:sz w:val="24"/>
          <w:szCs w:val="24"/>
        </w:rPr>
        <w:t>Após o cumprimento das medidas compensatórias a Prefeitura emitirá o respectivo Alvará comprovando, assim, que o proprietário e/ou possuidor atendeu aos requisitos desta Lei.</w:t>
      </w:r>
    </w:p>
    <w:p w:rsidR="00D407AB" w:rsidRPr="004E18D0" w:rsidRDefault="00D407AB" w:rsidP="00D407AB">
      <w:pPr>
        <w:jc w:val="both"/>
        <w:rPr>
          <w:sz w:val="24"/>
          <w:szCs w:val="24"/>
        </w:rPr>
      </w:pPr>
    </w:p>
    <w:p w:rsidR="00D407AB" w:rsidRPr="004E18D0" w:rsidRDefault="00D407AB" w:rsidP="00D407AB">
      <w:pPr>
        <w:jc w:val="both"/>
        <w:rPr>
          <w:sz w:val="24"/>
          <w:szCs w:val="24"/>
        </w:rPr>
      </w:pPr>
      <w:r w:rsidRPr="004E18D0">
        <w:rPr>
          <w:sz w:val="24"/>
          <w:szCs w:val="24"/>
        </w:rPr>
        <w:tab/>
      </w:r>
      <w:r w:rsidRPr="004E18D0">
        <w:rPr>
          <w:sz w:val="24"/>
          <w:szCs w:val="24"/>
        </w:rPr>
        <w:tab/>
      </w:r>
      <w:r w:rsidRPr="004E18D0">
        <w:rPr>
          <w:b/>
          <w:sz w:val="24"/>
          <w:szCs w:val="24"/>
        </w:rPr>
        <w:t xml:space="preserve">Art. 4º </w:t>
      </w:r>
      <w:r w:rsidRPr="004E18D0">
        <w:rPr>
          <w:sz w:val="24"/>
          <w:szCs w:val="24"/>
        </w:rPr>
        <w:t>Esta Lei não se aplica às áreas localizadas no entorno do lago de furnas, lagos e lagoas do Município.</w:t>
      </w:r>
    </w:p>
    <w:p w:rsidR="00D407AB" w:rsidRPr="004E18D0" w:rsidRDefault="00D407AB" w:rsidP="00D407AB">
      <w:pPr>
        <w:jc w:val="both"/>
        <w:rPr>
          <w:sz w:val="24"/>
          <w:szCs w:val="24"/>
        </w:rPr>
      </w:pPr>
    </w:p>
    <w:p w:rsidR="00D407AB" w:rsidRPr="004E18D0" w:rsidRDefault="00D407AB" w:rsidP="00D407AB">
      <w:pPr>
        <w:jc w:val="both"/>
        <w:rPr>
          <w:sz w:val="24"/>
          <w:szCs w:val="24"/>
        </w:rPr>
      </w:pPr>
      <w:r w:rsidRPr="004E18D0">
        <w:rPr>
          <w:sz w:val="24"/>
          <w:szCs w:val="24"/>
        </w:rPr>
        <w:tab/>
      </w:r>
      <w:r w:rsidRPr="004E18D0">
        <w:rPr>
          <w:sz w:val="24"/>
          <w:szCs w:val="24"/>
        </w:rPr>
        <w:tab/>
      </w:r>
      <w:r w:rsidRPr="004E18D0">
        <w:rPr>
          <w:b/>
          <w:sz w:val="24"/>
          <w:szCs w:val="24"/>
        </w:rPr>
        <w:t xml:space="preserve">Parágrafo único: </w:t>
      </w:r>
      <w:r w:rsidRPr="004E18D0">
        <w:rPr>
          <w:sz w:val="24"/>
          <w:szCs w:val="24"/>
        </w:rPr>
        <w:t>A presente Lei poderá ser aplicada nas áreas localizadas no entorno do lago de furnas, lagos e lagoas apenas nas situações em que o proprietário/possuidor já tiver iniciado e/ou concluído alguma obra.</w:t>
      </w:r>
    </w:p>
    <w:p w:rsidR="00D407AB" w:rsidRPr="004E18D0" w:rsidRDefault="00D407AB" w:rsidP="00D407AB">
      <w:pPr>
        <w:jc w:val="both"/>
        <w:rPr>
          <w:sz w:val="24"/>
          <w:szCs w:val="24"/>
        </w:rPr>
      </w:pPr>
    </w:p>
    <w:p w:rsidR="00D407AB" w:rsidRPr="004E18D0" w:rsidRDefault="00D407AB" w:rsidP="00D407AB">
      <w:pPr>
        <w:jc w:val="both"/>
        <w:rPr>
          <w:sz w:val="24"/>
          <w:szCs w:val="24"/>
        </w:rPr>
      </w:pPr>
      <w:r w:rsidRPr="004E18D0">
        <w:rPr>
          <w:sz w:val="24"/>
          <w:szCs w:val="24"/>
        </w:rPr>
        <w:tab/>
      </w:r>
      <w:r w:rsidRPr="004E18D0">
        <w:rPr>
          <w:sz w:val="24"/>
          <w:szCs w:val="24"/>
        </w:rPr>
        <w:tab/>
      </w:r>
      <w:r w:rsidRPr="004E18D0">
        <w:rPr>
          <w:b/>
          <w:sz w:val="24"/>
          <w:szCs w:val="24"/>
        </w:rPr>
        <w:t xml:space="preserve">Art. 5º </w:t>
      </w:r>
      <w:r w:rsidRPr="004E18D0">
        <w:rPr>
          <w:sz w:val="24"/>
          <w:szCs w:val="24"/>
        </w:rPr>
        <w:t>Esta Lei entrará em vigor na data de sua publicação.</w:t>
      </w:r>
    </w:p>
    <w:p w:rsidR="00D407AB" w:rsidRPr="004E18D0" w:rsidRDefault="00D407AB" w:rsidP="00D407AB">
      <w:pPr>
        <w:jc w:val="both"/>
        <w:rPr>
          <w:sz w:val="24"/>
          <w:szCs w:val="24"/>
        </w:rPr>
      </w:pPr>
    </w:p>
    <w:p w:rsidR="00D407AB" w:rsidRPr="004E18D0" w:rsidRDefault="00D407AB" w:rsidP="00D407AB">
      <w:pPr>
        <w:jc w:val="both"/>
        <w:rPr>
          <w:sz w:val="24"/>
          <w:szCs w:val="24"/>
        </w:rPr>
      </w:pPr>
      <w:r w:rsidRPr="004E18D0">
        <w:rPr>
          <w:sz w:val="24"/>
          <w:szCs w:val="24"/>
        </w:rPr>
        <w:tab/>
      </w:r>
      <w:r w:rsidRPr="004E18D0">
        <w:rPr>
          <w:sz w:val="24"/>
          <w:szCs w:val="24"/>
        </w:rPr>
        <w:tab/>
      </w:r>
      <w:r w:rsidRPr="004E18D0">
        <w:rPr>
          <w:b/>
          <w:sz w:val="24"/>
          <w:szCs w:val="24"/>
        </w:rPr>
        <w:t xml:space="preserve">Art. 6º </w:t>
      </w:r>
      <w:r w:rsidRPr="004E18D0">
        <w:rPr>
          <w:sz w:val="24"/>
          <w:szCs w:val="24"/>
        </w:rPr>
        <w:t>Revogam-se as disposições em contrário.</w:t>
      </w:r>
    </w:p>
    <w:p w:rsidR="00D407AB" w:rsidRPr="004E18D0" w:rsidRDefault="00D407AB" w:rsidP="00D407AB">
      <w:pPr>
        <w:jc w:val="both"/>
        <w:rPr>
          <w:sz w:val="24"/>
          <w:szCs w:val="24"/>
        </w:rPr>
      </w:pPr>
    </w:p>
    <w:p w:rsidR="00D407AB" w:rsidRPr="004E18D0" w:rsidRDefault="00D407AB" w:rsidP="00D407AB">
      <w:pPr>
        <w:jc w:val="both"/>
        <w:rPr>
          <w:sz w:val="24"/>
          <w:szCs w:val="24"/>
        </w:rPr>
      </w:pPr>
    </w:p>
    <w:p w:rsidR="00D407AB" w:rsidRPr="004E18D0" w:rsidRDefault="00D407AB" w:rsidP="00D407AB">
      <w:pPr>
        <w:jc w:val="both"/>
        <w:rPr>
          <w:sz w:val="24"/>
          <w:szCs w:val="24"/>
        </w:rPr>
      </w:pPr>
      <w:r w:rsidRPr="004E18D0">
        <w:rPr>
          <w:sz w:val="24"/>
          <w:szCs w:val="24"/>
        </w:rPr>
        <w:tab/>
      </w:r>
      <w:r w:rsidRPr="004E18D0">
        <w:rPr>
          <w:sz w:val="24"/>
          <w:szCs w:val="24"/>
        </w:rPr>
        <w:tab/>
        <w:t xml:space="preserve">Gabinete do Prefeito em Formiga, </w:t>
      </w:r>
      <w:r>
        <w:rPr>
          <w:sz w:val="24"/>
          <w:szCs w:val="24"/>
        </w:rPr>
        <w:t>08 de abril</w:t>
      </w:r>
      <w:r w:rsidRPr="004E18D0">
        <w:rPr>
          <w:sz w:val="24"/>
          <w:szCs w:val="24"/>
        </w:rPr>
        <w:t xml:space="preserve"> de 2004.</w:t>
      </w:r>
    </w:p>
    <w:p w:rsidR="00D407AB" w:rsidRPr="004E18D0" w:rsidRDefault="00D407AB" w:rsidP="00D407AB">
      <w:pPr>
        <w:jc w:val="both"/>
        <w:rPr>
          <w:sz w:val="24"/>
          <w:szCs w:val="24"/>
        </w:rPr>
      </w:pPr>
    </w:p>
    <w:p w:rsidR="00D407AB" w:rsidRPr="004E18D0" w:rsidRDefault="00D407AB" w:rsidP="00D407AB">
      <w:pPr>
        <w:jc w:val="both"/>
        <w:rPr>
          <w:sz w:val="24"/>
          <w:szCs w:val="24"/>
        </w:rPr>
      </w:pPr>
    </w:p>
    <w:p w:rsidR="00D407AB" w:rsidRPr="004E18D0" w:rsidRDefault="00D407AB" w:rsidP="00D407AB">
      <w:pPr>
        <w:jc w:val="both"/>
        <w:rPr>
          <w:sz w:val="24"/>
          <w:szCs w:val="24"/>
        </w:rPr>
      </w:pPr>
    </w:p>
    <w:p w:rsidR="00D407AB" w:rsidRDefault="00D407AB" w:rsidP="00D407AB">
      <w:pPr>
        <w:jc w:val="both"/>
        <w:rPr>
          <w:sz w:val="24"/>
          <w:szCs w:val="24"/>
        </w:rPr>
      </w:pPr>
    </w:p>
    <w:p w:rsidR="00D407AB" w:rsidRDefault="00D407AB" w:rsidP="00D407AB">
      <w:pPr>
        <w:jc w:val="both"/>
        <w:rPr>
          <w:sz w:val="24"/>
          <w:szCs w:val="24"/>
        </w:rPr>
      </w:pPr>
    </w:p>
    <w:p w:rsidR="00D407AB" w:rsidRDefault="00D407AB" w:rsidP="00D407AB">
      <w:pPr>
        <w:jc w:val="center"/>
        <w:rPr>
          <w:sz w:val="24"/>
          <w:szCs w:val="24"/>
        </w:rPr>
      </w:pPr>
    </w:p>
    <w:p w:rsidR="00D407AB" w:rsidRDefault="00D407AB" w:rsidP="00D407A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D407AB" w:rsidRDefault="00D407AB" w:rsidP="00D407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Municipal </w:t>
      </w:r>
    </w:p>
    <w:p w:rsidR="00D407AB" w:rsidRDefault="00D407AB" w:rsidP="00D407AB">
      <w:pPr>
        <w:jc w:val="center"/>
        <w:rPr>
          <w:sz w:val="24"/>
          <w:szCs w:val="24"/>
        </w:rPr>
      </w:pPr>
    </w:p>
    <w:p w:rsidR="00D407AB" w:rsidRDefault="00D407AB" w:rsidP="00D407AB">
      <w:pPr>
        <w:jc w:val="center"/>
        <w:rPr>
          <w:sz w:val="24"/>
          <w:szCs w:val="24"/>
        </w:rPr>
      </w:pPr>
    </w:p>
    <w:p w:rsidR="00D407AB" w:rsidRDefault="00D407AB" w:rsidP="00D407AB">
      <w:pPr>
        <w:jc w:val="center"/>
        <w:rPr>
          <w:sz w:val="24"/>
          <w:szCs w:val="24"/>
        </w:rPr>
      </w:pPr>
    </w:p>
    <w:p w:rsidR="00D407AB" w:rsidRDefault="00D407AB" w:rsidP="00D407AB">
      <w:pPr>
        <w:jc w:val="center"/>
        <w:rPr>
          <w:sz w:val="24"/>
          <w:szCs w:val="24"/>
        </w:rPr>
      </w:pPr>
    </w:p>
    <w:p w:rsidR="00D407AB" w:rsidRDefault="00D407AB" w:rsidP="00D407AB">
      <w:pPr>
        <w:jc w:val="center"/>
        <w:rPr>
          <w:sz w:val="24"/>
          <w:szCs w:val="24"/>
        </w:rPr>
      </w:pPr>
    </w:p>
    <w:p w:rsidR="00D407AB" w:rsidRDefault="00D407AB" w:rsidP="00D407AB">
      <w:pPr>
        <w:jc w:val="center"/>
        <w:rPr>
          <w:sz w:val="24"/>
          <w:szCs w:val="24"/>
        </w:rPr>
      </w:pPr>
    </w:p>
    <w:p w:rsidR="00D407AB" w:rsidRDefault="00D407AB" w:rsidP="00D407A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D407AB" w:rsidRDefault="00D407AB" w:rsidP="00D407AB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D407AB" w:rsidRDefault="00D407AB" w:rsidP="00D407AB">
      <w:pPr>
        <w:jc w:val="center"/>
        <w:rPr>
          <w:sz w:val="24"/>
          <w:szCs w:val="24"/>
        </w:rPr>
      </w:pPr>
    </w:p>
    <w:p w:rsidR="0030374B" w:rsidRDefault="00D407A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AB"/>
    <w:rsid w:val="000A2C50"/>
    <w:rsid w:val="00147E9B"/>
    <w:rsid w:val="004662F0"/>
    <w:rsid w:val="005B4ECA"/>
    <w:rsid w:val="0070535B"/>
    <w:rsid w:val="009E5F9A"/>
    <w:rsid w:val="00D4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51E08-ACE3-442A-AE54-8A81A6EE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2018-07-31T12:48:00Z</dcterms:created>
  <dcterms:modified xsi:type="dcterms:W3CDTF">2018-07-31T12:48:00Z</dcterms:modified>
</cp:coreProperties>
</file>