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71D" w:rsidRDefault="007C171D" w:rsidP="007C171D">
      <w:pPr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</w:rPr>
        <w:t xml:space="preserve">LEI Nº 3756, DE 29 DE DEZEMBRO DE 2005. </w:t>
      </w:r>
    </w:p>
    <w:p w:rsidR="007C171D" w:rsidRDefault="007C171D" w:rsidP="007C171D">
      <w:pPr>
        <w:jc w:val="center"/>
        <w:rPr>
          <w:b/>
          <w:sz w:val="24"/>
        </w:rPr>
      </w:pPr>
    </w:p>
    <w:p w:rsidR="007C171D" w:rsidRDefault="007C171D" w:rsidP="007C171D">
      <w:pPr>
        <w:jc w:val="right"/>
        <w:rPr>
          <w:b/>
          <w:sz w:val="24"/>
        </w:rPr>
      </w:pPr>
    </w:p>
    <w:p w:rsidR="007C171D" w:rsidRDefault="007C171D" w:rsidP="007C171D">
      <w:pPr>
        <w:jc w:val="right"/>
        <w:rPr>
          <w:b/>
          <w:sz w:val="24"/>
        </w:rPr>
      </w:pPr>
    </w:p>
    <w:p w:rsidR="007C171D" w:rsidRDefault="007C171D" w:rsidP="007C171D">
      <w:pPr>
        <w:jc w:val="right"/>
        <w:rPr>
          <w:b/>
          <w:sz w:val="24"/>
        </w:rPr>
      </w:pPr>
    </w:p>
    <w:p w:rsidR="007C171D" w:rsidRDefault="007C171D" w:rsidP="007C171D">
      <w:pPr>
        <w:ind w:left="4253"/>
        <w:jc w:val="both"/>
        <w:rPr>
          <w:sz w:val="24"/>
        </w:rPr>
      </w:pPr>
      <w:r>
        <w:rPr>
          <w:sz w:val="24"/>
        </w:rPr>
        <w:t>Determina regras para a declaração de Utilidade Pública Municipal.</w:t>
      </w:r>
    </w:p>
    <w:p w:rsidR="007C171D" w:rsidRDefault="007C171D" w:rsidP="007C171D">
      <w:pPr>
        <w:ind w:left="4253"/>
        <w:jc w:val="both"/>
        <w:rPr>
          <w:sz w:val="24"/>
        </w:rPr>
      </w:pPr>
    </w:p>
    <w:p w:rsidR="007C171D" w:rsidRDefault="007C171D" w:rsidP="007C171D">
      <w:pPr>
        <w:ind w:left="4253"/>
        <w:jc w:val="both"/>
        <w:rPr>
          <w:sz w:val="24"/>
        </w:rPr>
      </w:pPr>
    </w:p>
    <w:p w:rsidR="007C171D" w:rsidRDefault="007C171D" w:rsidP="007C171D">
      <w:pPr>
        <w:ind w:left="4253"/>
        <w:jc w:val="both"/>
        <w:rPr>
          <w:sz w:val="24"/>
        </w:rPr>
      </w:pPr>
    </w:p>
    <w:p w:rsidR="007C171D" w:rsidRDefault="007C171D" w:rsidP="007C171D">
      <w:pPr>
        <w:ind w:left="4253"/>
        <w:jc w:val="both"/>
        <w:rPr>
          <w:sz w:val="24"/>
        </w:rPr>
      </w:pPr>
    </w:p>
    <w:p w:rsidR="007C171D" w:rsidRDefault="007C171D" w:rsidP="007C171D">
      <w:pPr>
        <w:pStyle w:val="Norma"/>
      </w:pPr>
      <w:r>
        <w:tab/>
      </w:r>
      <w:r>
        <w:tab/>
        <w:t>A CÂMARA MUNICIPAL DE FORMIGA APROVOU E EU SANCIONO A SEGUINTE LEI:</w:t>
      </w:r>
    </w:p>
    <w:p w:rsidR="007C171D" w:rsidRDefault="007C171D" w:rsidP="007C171D">
      <w:pPr>
        <w:jc w:val="both"/>
        <w:rPr>
          <w:sz w:val="24"/>
        </w:rPr>
      </w:pPr>
    </w:p>
    <w:p w:rsidR="007C171D" w:rsidRDefault="007C171D" w:rsidP="007C171D">
      <w:pPr>
        <w:jc w:val="both"/>
        <w:rPr>
          <w:sz w:val="24"/>
        </w:rPr>
      </w:pPr>
    </w:p>
    <w:p w:rsidR="007C171D" w:rsidRDefault="007C171D" w:rsidP="007C171D">
      <w:pPr>
        <w:jc w:val="both"/>
        <w:rPr>
          <w:sz w:val="24"/>
        </w:rPr>
      </w:pPr>
    </w:p>
    <w:p w:rsidR="007C171D" w:rsidRDefault="007C171D" w:rsidP="007C171D">
      <w:pPr>
        <w:jc w:val="both"/>
        <w:rPr>
          <w:sz w:val="24"/>
        </w:rPr>
      </w:pPr>
    </w:p>
    <w:p w:rsidR="007C171D" w:rsidRDefault="007C171D" w:rsidP="007C171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</w:t>
      </w:r>
      <w:r>
        <w:rPr>
          <w:sz w:val="24"/>
        </w:rPr>
        <w:t>As sociedades civis, as associações e as fundações constituídas no Município, com o fim exclusivo de servir desinteressadamente à coletividade, podem ser declaradas de utilidade pública municipal, desde que:</w:t>
      </w:r>
    </w:p>
    <w:p w:rsidR="007C171D" w:rsidRDefault="007C171D" w:rsidP="007C171D">
      <w:pPr>
        <w:jc w:val="both"/>
        <w:rPr>
          <w:sz w:val="24"/>
        </w:rPr>
      </w:pPr>
    </w:p>
    <w:p w:rsidR="007C171D" w:rsidRDefault="007C171D" w:rsidP="007C171D">
      <w:pPr>
        <w:ind w:left="1483"/>
        <w:jc w:val="both"/>
        <w:outlineLvl w:val="0"/>
        <w:rPr>
          <w:sz w:val="24"/>
        </w:rPr>
      </w:pPr>
      <w:r>
        <w:rPr>
          <w:sz w:val="24"/>
        </w:rPr>
        <w:t xml:space="preserve">a) possuam personalidade jurídica; </w:t>
      </w:r>
    </w:p>
    <w:p w:rsidR="007C171D" w:rsidRDefault="007C171D" w:rsidP="007C171D">
      <w:pPr>
        <w:ind w:left="1483"/>
        <w:jc w:val="both"/>
        <w:outlineLvl w:val="0"/>
        <w:rPr>
          <w:sz w:val="24"/>
        </w:rPr>
      </w:pPr>
    </w:p>
    <w:p w:rsidR="007C171D" w:rsidRDefault="007C171D" w:rsidP="007C171D">
      <w:pPr>
        <w:ind w:left="1483"/>
        <w:jc w:val="both"/>
        <w:outlineLvl w:val="0"/>
        <w:rPr>
          <w:sz w:val="24"/>
        </w:rPr>
      </w:pPr>
      <w:r>
        <w:rPr>
          <w:sz w:val="24"/>
        </w:rPr>
        <w:t>b) estejam em efetivo funcionamento e sirvam desinteressadamente à coletividade;</w:t>
      </w:r>
    </w:p>
    <w:p w:rsidR="007C171D" w:rsidRDefault="007C171D" w:rsidP="007C171D">
      <w:pPr>
        <w:ind w:left="1483"/>
        <w:jc w:val="both"/>
        <w:outlineLvl w:val="0"/>
        <w:rPr>
          <w:sz w:val="24"/>
        </w:rPr>
      </w:pPr>
    </w:p>
    <w:p w:rsidR="007C171D" w:rsidRDefault="007C171D" w:rsidP="007C171D">
      <w:pPr>
        <w:ind w:firstLine="1483"/>
        <w:jc w:val="both"/>
        <w:outlineLvl w:val="0"/>
        <w:rPr>
          <w:sz w:val="24"/>
        </w:rPr>
      </w:pPr>
      <w:r>
        <w:rPr>
          <w:sz w:val="24"/>
        </w:rPr>
        <w:t>c) os cargos de sua diretoria, conselhos fiscais, deliberativos ou consultivos não sejam remunerados;</w:t>
      </w:r>
    </w:p>
    <w:p w:rsidR="007C171D" w:rsidRDefault="007C171D" w:rsidP="007C171D">
      <w:pPr>
        <w:ind w:left="1483"/>
        <w:jc w:val="both"/>
        <w:outlineLvl w:val="0"/>
        <w:rPr>
          <w:sz w:val="24"/>
        </w:rPr>
      </w:pPr>
    </w:p>
    <w:p w:rsidR="007C171D" w:rsidRDefault="007C171D" w:rsidP="007C171D">
      <w:pPr>
        <w:ind w:firstLine="1483"/>
        <w:jc w:val="both"/>
        <w:outlineLvl w:val="0"/>
        <w:rPr>
          <w:sz w:val="24"/>
        </w:rPr>
      </w:pPr>
      <w:r>
        <w:rPr>
          <w:sz w:val="24"/>
        </w:rPr>
        <w:t>d) estejam em efetivo e contínuo funcionamento há mais de 01 (Um) ano, com a exata observância dos estatutos, através de atestado do Secretário Municipal de Desenvolvimento Social, do Juiz de Direito ou do Presidente da Câmara.</w:t>
      </w:r>
    </w:p>
    <w:p w:rsidR="007C171D" w:rsidRDefault="007C171D" w:rsidP="007C171D">
      <w:pPr>
        <w:ind w:left="360"/>
        <w:jc w:val="both"/>
        <w:outlineLvl w:val="0"/>
        <w:rPr>
          <w:sz w:val="24"/>
        </w:rPr>
      </w:pPr>
    </w:p>
    <w:p w:rsidR="007C171D" w:rsidRDefault="007C171D" w:rsidP="007C171D">
      <w:pPr>
        <w:ind w:firstLine="1418"/>
        <w:jc w:val="both"/>
        <w:outlineLvl w:val="0"/>
        <w:rPr>
          <w:sz w:val="24"/>
        </w:rPr>
      </w:pPr>
      <w:r>
        <w:rPr>
          <w:b/>
          <w:sz w:val="24"/>
        </w:rPr>
        <w:t>Parágrafo único:</w:t>
      </w:r>
      <w:r>
        <w:rPr>
          <w:sz w:val="24"/>
        </w:rPr>
        <w:t xml:space="preserve"> A declaração de que trata a </w:t>
      </w:r>
      <w:r>
        <w:rPr>
          <w:i/>
          <w:sz w:val="24"/>
        </w:rPr>
        <w:t>alínea d</w:t>
      </w:r>
      <w:r>
        <w:rPr>
          <w:sz w:val="24"/>
        </w:rPr>
        <w:t xml:space="preserve"> deste artigo poderá compreender, para fins de contagem do tempo previsto, o período de funcionamento da matriz ou de filial, desde que comprovado através dos respectivos títulos de utilidade pública dos municípios sede e dos títulos de utilidade pública estadual e federal.</w:t>
      </w:r>
    </w:p>
    <w:p w:rsidR="007C171D" w:rsidRDefault="007C171D" w:rsidP="007C171D">
      <w:pPr>
        <w:jc w:val="both"/>
        <w:outlineLvl w:val="0"/>
        <w:rPr>
          <w:sz w:val="24"/>
        </w:rPr>
      </w:pPr>
      <w:r>
        <w:rPr>
          <w:sz w:val="24"/>
        </w:rPr>
        <w:t xml:space="preserve">  </w:t>
      </w:r>
    </w:p>
    <w:p w:rsidR="007C171D" w:rsidRDefault="007C171D" w:rsidP="007C171D">
      <w:pPr>
        <w:pStyle w:val="Blockquote"/>
        <w:ind w:left="0" w:right="44" w:firstLine="1418"/>
        <w:jc w:val="both"/>
      </w:pPr>
      <w:r>
        <w:rPr>
          <w:b/>
          <w:snapToGrid/>
        </w:rPr>
        <w:t xml:space="preserve">Art. 2º </w:t>
      </w:r>
      <w:r>
        <w:rPr>
          <w:snapToGrid/>
        </w:rPr>
        <w:t>A declaração de utilidade pública será feita através de Lei, aprovada pela Câmara Municipal</w:t>
      </w:r>
      <w:r>
        <w:t>.</w:t>
      </w:r>
    </w:p>
    <w:p w:rsidR="007C171D" w:rsidRDefault="007C171D" w:rsidP="007C171D">
      <w:pPr>
        <w:jc w:val="both"/>
        <w:rPr>
          <w:sz w:val="24"/>
        </w:rPr>
      </w:pPr>
    </w:p>
    <w:p w:rsidR="007C171D" w:rsidRDefault="007C171D" w:rsidP="007C171D">
      <w:pPr>
        <w:ind w:firstLine="1418"/>
        <w:jc w:val="both"/>
        <w:rPr>
          <w:sz w:val="24"/>
        </w:rPr>
      </w:pPr>
      <w:r>
        <w:rPr>
          <w:b/>
          <w:sz w:val="24"/>
        </w:rPr>
        <w:t>Art. 3º</w:t>
      </w:r>
      <w:r>
        <w:rPr>
          <w:sz w:val="24"/>
        </w:rPr>
        <w:t xml:space="preserve"> As sociedades civis, as associações e fundações declaradas de utilidade pública ficam obrigadas a apresentar, anualmente, exceto por motivo de ordem superior reconhecido, ao Conselho Municipal de Assistência Social, atualização de cadastro, sendo que o referido Conselho Municipal de Assistência Social será responsável pela emissão do certificado de funcionamento.</w:t>
      </w:r>
    </w:p>
    <w:p w:rsidR="007C171D" w:rsidRDefault="007C171D" w:rsidP="007C171D">
      <w:pPr>
        <w:pStyle w:val="Norma"/>
      </w:pPr>
    </w:p>
    <w:p w:rsidR="007C171D" w:rsidRDefault="007C171D" w:rsidP="007C171D">
      <w:pPr>
        <w:pStyle w:val="Blockquote"/>
        <w:ind w:left="0" w:right="-76" w:firstLine="1418"/>
        <w:jc w:val="both"/>
        <w:rPr>
          <w:snapToGrid/>
        </w:rPr>
      </w:pPr>
      <w:r>
        <w:rPr>
          <w:b/>
          <w:snapToGrid/>
        </w:rPr>
        <w:t>Parágrafo único.</w:t>
      </w:r>
      <w:r>
        <w:rPr>
          <w:snapToGrid/>
        </w:rPr>
        <w:t xml:space="preserve"> Será cassada a declaração de utilidade pública no caso de infração ao artigo 3º.</w:t>
      </w:r>
    </w:p>
    <w:p w:rsidR="007C171D" w:rsidRDefault="007C171D" w:rsidP="007C171D">
      <w:pPr>
        <w:jc w:val="both"/>
        <w:rPr>
          <w:b/>
          <w:sz w:val="24"/>
        </w:rPr>
      </w:pPr>
    </w:p>
    <w:p w:rsidR="007C171D" w:rsidRDefault="007C171D" w:rsidP="007C171D">
      <w:pPr>
        <w:ind w:firstLine="1418"/>
        <w:jc w:val="both"/>
        <w:rPr>
          <w:sz w:val="24"/>
        </w:rPr>
      </w:pPr>
      <w:r>
        <w:rPr>
          <w:b/>
          <w:sz w:val="24"/>
        </w:rPr>
        <w:t>Art. 4º</w:t>
      </w:r>
      <w:r>
        <w:rPr>
          <w:sz w:val="24"/>
        </w:rPr>
        <w:t xml:space="preserve"> Será também cassada a declaração de utilidade pública, mediante representação documentada do Ministério Público ou de qualquer interessado à sede da sociedade, associação ou fundação, sempre que se provar que ela deixou de preencher qualquer dos requisitos do artigo 1º.</w:t>
      </w:r>
    </w:p>
    <w:p w:rsidR="007C171D" w:rsidRDefault="007C171D" w:rsidP="007C171D">
      <w:pPr>
        <w:pStyle w:val="Norma"/>
      </w:pPr>
    </w:p>
    <w:p w:rsidR="007C171D" w:rsidRDefault="007C171D" w:rsidP="007C171D">
      <w:pPr>
        <w:ind w:firstLine="1418"/>
        <w:jc w:val="both"/>
        <w:rPr>
          <w:sz w:val="24"/>
        </w:rPr>
      </w:pPr>
      <w:r>
        <w:rPr>
          <w:rStyle w:val="Forte"/>
          <w:sz w:val="24"/>
        </w:rPr>
        <w:t>Art. 5º</w:t>
      </w:r>
      <w:r>
        <w:rPr>
          <w:sz w:val="24"/>
        </w:rPr>
        <w:t xml:space="preserve"> Ficam revogadas as Leis 1100 de 17/06/1977; 1648 de 21/11/1984 e 2155 de 27/09/1993.</w:t>
      </w:r>
    </w:p>
    <w:p w:rsidR="007C171D" w:rsidRDefault="007C171D" w:rsidP="007C171D">
      <w:pPr>
        <w:tabs>
          <w:tab w:val="left" w:pos="6480"/>
        </w:tabs>
        <w:jc w:val="both"/>
        <w:rPr>
          <w:sz w:val="24"/>
        </w:rPr>
      </w:pPr>
      <w:r>
        <w:rPr>
          <w:sz w:val="24"/>
        </w:rPr>
        <w:tab/>
      </w:r>
    </w:p>
    <w:p w:rsidR="007C171D" w:rsidRDefault="007C171D" w:rsidP="007C171D">
      <w:pPr>
        <w:ind w:firstLine="1418"/>
        <w:jc w:val="both"/>
        <w:rPr>
          <w:rStyle w:val="Forte"/>
          <w:b w:val="0"/>
          <w:sz w:val="24"/>
        </w:rPr>
      </w:pPr>
      <w:r>
        <w:rPr>
          <w:rStyle w:val="Forte"/>
          <w:sz w:val="24"/>
        </w:rPr>
        <w:t xml:space="preserve">Art. 6º </w:t>
      </w:r>
      <w:r>
        <w:rPr>
          <w:rStyle w:val="Forte"/>
          <w:b w:val="0"/>
          <w:sz w:val="24"/>
        </w:rPr>
        <w:t>Esta lei entra em vigor na data de sua publicação.</w:t>
      </w:r>
    </w:p>
    <w:p w:rsidR="007C171D" w:rsidRDefault="007C171D" w:rsidP="007C171D">
      <w:pPr>
        <w:jc w:val="both"/>
        <w:rPr>
          <w:rStyle w:val="Forte"/>
          <w:b w:val="0"/>
          <w:sz w:val="24"/>
        </w:rPr>
      </w:pPr>
    </w:p>
    <w:p w:rsidR="007C171D" w:rsidRDefault="007C171D" w:rsidP="007C171D">
      <w:pPr>
        <w:jc w:val="both"/>
        <w:rPr>
          <w:rStyle w:val="Forte"/>
          <w:b w:val="0"/>
          <w:sz w:val="24"/>
        </w:rPr>
      </w:pPr>
      <w:r>
        <w:rPr>
          <w:rStyle w:val="Forte"/>
          <w:b w:val="0"/>
          <w:sz w:val="24"/>
        </w:rPr>
        <w:tab/>
      </w:r>
      <w:r>
        <w:rPr>
          <w:rStyle w:val="Forte"/>
          <w:b w:val="0"/>
          <w:sz w:val="24"/>
        </w:rPr>
        <w:tab/>
        <w:t>Gabinete do Prefeito em Formiga, 29 de dezembro de 2005.</w:t>
      </w:r>
    </w:p>
    <w:p w:rsidR="007C171D" w:rsidRDefault="007C171D" w:rsidP="007C171D">
      <w:pPr>
        <w:jc w:val="both"/>
        <w:rPr>
          <w:rStyle w:val="Forte"/>
          <w:b w:val="0"/>
          <w:sz w:val="24"/>
        </w:rPr>
      </w:pPr>
    </w:p>
    <w:p w:rsidR="007C171D" w:rsidRDefault="007C171D" w:rsidP="007C171D">
      <w:pPr>
        <w:jc w:val="both"/>
        <w:rPr>
          <w:rStyle w:val="Forte"/>
          <w:b w:val="0"/>
          <w:sz w:val="24"/>
        </w:rPr>
      </w:pPr>
    </w:p>
    <w:p w:rsidR="007C171D" w:rsidRDefault="007C171D" w:rsidP="007C171D">
      <w:pPr>
        <w:jc w:val="both"/>
        <w:rPr>
          <w:rStyle w:val="Forte"/>
          <w:b w:val="0"/>
          <w:sz w:val="24"/>
        </w:rPr>
      </w:pPr>
    </w:p>
    <w:p w:rsidR="007C171D" w:rsidRDefault="007C171D" w:rsidP="007C171D">
      <w:pPr>
        <w:jc w:val="both"/>
        <w:rPr>
          <w:rStyle w:val="Forte"/>
          <w:b w:val="0"/>
          <w:sz w:val="24"/>
        </w:rPr>
      </w:pPr>
    </w:p>
    <w:p w:rsidR="007C171D" w:rsidRDefault="007C171D" w:rsidP="007C171D">
      <w:pPr>
        <w:jc w:val="center"/>
        <w:rPr>
          <w:rStyle w:val="Forte"/>
          <w:b w:val="0"/>
          <w:sz w:val="24"/>
        </w:rPr>
      </w:pPr>
    </w:p>
    <w:p w:rsidR="007C171D" w:rsidRDefault="007C171D" w:rsidP="007C171D">
      <w:pPr>
        <w:jc w:val="center"/>
        <w:rPr>
          <w:rStyle w:val="Forte"/>
          <w:bCs/>
          <w:i/>
          <w:iCs/>
          <w:sz w:val="24"/>
        </w:rPr>
      </w:pPr>
      <w:r>
        <w:rPr>
          <w:rStyle w:val="Forte"/>
          <w:bCs/>
          <w:i/>
          <w:iCs/>
          <w:sz w:val="24"/>
        </w:rPr>
        <w:t>ALUÍSIO VELOSO DA CUNHA</w:t>
      </w:r>
    </w:p>
    <w:p w:rsidR="007C171D" w:rsidRDefault="007C171D" w:rsidP="007C171D">
      <w:pPr>
        <w:pStyle w:val="Norma"/>
        <w:jc w:val="center"/>
        <w:rPr>
          <w:rStyle w:val="Forte"/>
          <w:b w:val="0"/>
        </w:rPr>
      </w:pPr>
      <w:r>
        <w:rPr>
          <w:rStyle w:val="Forte"/>
          <w:b w:val="0"/>
        </w:rPr>
        <w:t>Prefeito Municipal</w:t>
      </w:r>
    </w:p>
    <w:p w:rsidR="007C171D" w:rsidRDefault="007C171D" w:rsidP="007C171D">
      <w:pPr>
        <w:pStyle w:val="Norma"/>
        <w:jc w:val="center"/>
        <w:rPr>
          <w:rStyle w:val="Forte"/>
          <w:b w:val="0"/>
        </w:rPr>
      </w:pPr>
    </w:p>
    <w:p w:rsidR="007C171D" w:rsidRDefault="007C171D" w:rsidP="007C171D">
      <w:pPr>
        <w:pStyle w:val="Norma"/>
        <w:jc w:val="center"/>
        <w:rPr>
          <w:rStyle w:val="Forte"/>
          <w:b w:val="0"/>
        </w:rPr>
      </w:pPr>
    </w:p>
    <w:p w:rsidR="007C171D" w:rsidRDefault="007C171D" w:rsidP="007C171D">
      <w:pPr>
        <w:pStyle w:val="Norma"/>
        <w:jc w:val="center"/>
        <w:rPr>
          <w:rStyle w:val="Forte"/>
          <w:b w:val="0"/>
        </w:rPr>
      </w:pPr>
    </w:p>
    <w:p w:rsidR="007C171D" w:rsidRDefault="007C171D" w:rsidP="007C171D">
      <w:pPr>
        <w:pStyle w:val="Norma"/>
        <w:jc w:val="center"/>
        <w:rPr>
          <w:rStyle w:val="Forte"/>
          <w:b w:val="0"/>
        </w:rPr>
      </w:pPr>
    </w:p>
    <w:p w:rsidR="007C171D" w:rsidRDefault="007C171D" w:rsidP="007C171D">
      <w:pPr>
        <w:pStyle w:val="Norma"/>
        <w:jc w:val="center"/>
        <w:rPr>
          <w:rStyle w:val="Forte"/>
          <w:b w:val="0"/>
        </w:rPr>
      </w:pPr>
    </w:p>
    <w:p w:rsidR="007C171D" w:rsidRDefault="007C171D" w:rsidP="007C171D">
      <w:pPr>
        <w:pStyle w:val="Norma"/>
        <w:jc w:val="center"/>
        <w:rPr>
          <w:rStyle w:val="Forte"/>
          <w:b w:val="0"/>
        </w:rPr>
      </w:pPr>
    </w:p>
    <w:p w:rsidR="007C171D" w:rsidRDefault="007C171D" w:rsidP="007C171D">
      <w:pPr>
        <w:pStyle w:val="Norma"/>
        <w:jc w:val="center"/>
        <w:rPr>
          <w:rStyle w:val="Forte"/>
          <w:bCs/>
          <w:i/>
          <w:iCs/>
        </w:rPr>
      </w:pPr>
      <w:r>
        <w:rPr>
          <w:rStyle w:val="Forte"/>
          <w:bCs/>
          <w:i/>
          <w:iCs/>
        </w:rPr>
        <w:t>JOSÉ JAMIR CHAVES</w:t>
      </w:r>
    </w:p>
    <w:p w:rsidR="007C171D" w:rsidRDefault="007C171D" w:rsidP="007C171D">
      <w:pPr>
        <w:pStyle w:val="Norma"/>
        <w:jc w:val="center"/>
        <w:rPr>
          <w:rStyle w:val="Forte"/>
          <w:b w:val="0"/>
        </w:rPr>
      </w:pPr>
      <w:r>
        <w:rPr>
          <w:rStyle w:val="Forte"/>
          <w:b w:val="0"/>
        </w:rPr>
        <w:t>Oficial de Gabinete</w:t>
      </w:r>
    </w:p>
    <w:p w:rsidR="007C171D" w:rsidRDefault="007C171D" w:rsidP="007C171D">
      <w:pPr>
        <w:pStyle w:val="BlockQuotation"/>
        <w:widowControl/>
        <w:ind w:left="0" w:right="0"/>
      </w:pPr>
    </w:p>
    <w:p w:rsidR="007C171D" w:rsidRDefault="007C171D" w:rsidP="007C171D">
      <w:pPr>
        <w:pStyle w:val="BlockQuotation"/>
        <w:widowControl/>
        <w:ind w:left="0" w:right="0"/>
      </w:pPr>
    </w:p>
    <w:p w:rsidR="0030374B" w:rsidRDefault="007C171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1D"/>
    <w:rsid w:val="000A2C50"/>
    <w:rsid w:val="00147E9B"/>
    <w:rsid w:val="004662F0"/>
    <w:rsid w:val="005B4ECA"/>
    <w:rsid w:val="0070535B"/>
    <w:rsid w:val="007C171D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FA7F6-FE84-47A8-8B52-AC3BA803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C171D"/>
    <w:pPr>
      <w:widowControl w:val="0"/>
      <w:ind w:left="3402" w:right="-658"/>
      <w:jc w:val="both"/>
    </w:pPr>
    <w:rPr>
      <w:sz w:val="24"/>
    </w:rPr>
  </w:style>
  <w:style w:type="paragraph" w:customStyle="1" w:styleId="Blockquote">
    <w:name w:val="Blockquote"/>
    <w:basedOn w:val="Normal"/>
    <w:rsid w:val="007C171D"/>
    <w:pPr>
      <w:spacing w:before="100" w:after="100"/>
      <w:ind w:left="360" w:right="360"/>
    </w:pPr>
    <w:rPr>
      <w:snapToGrid w:val="0"/>
      <w:sz w:val="24"/>
    </w:rPr>
  </w:style>
  <w:style w:type="character" w:styleId="Forte">
    <w:name w:val="Strong"/>
    <w:basedOn w:val="Fontepargpadro"/>
    <w:qFormat/>
    <w:rsid w:val="007C171D"/>
    <w:rPr>
      <w:b/>
    </w:rPr>
  </w:style>
  <w:style w:type="paragraph" w:customStyle="1" w:styleId="Norma">
    <w:name w:val="Norma"/>
    <w:basedOn w:val="Normal"/>
    <w:rsid w:val="007C171D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2018-08-02T14:39:00Z</dcterms:created>
  <dcterms:modified xsi:type="dcterms:W3CDTF">2018-08-02T14:39:00Z</dcterms:modified>
</cp:coreProperties>
</file>