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7C" w:rsidRDefault="006C1E7C" w:rsidP="006C1E7C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07 DE ABRIL DE 2011</w:t>
      </w:r>
    </w:p>
    <w:p w:rsidR="006C1E7C" w:rsidRDefault="006C1E7C" w:rsidP="006C1E7C">
      <w:pPr>
        <w:spacing w:before="280" w:after="28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 </w:t>
      </w:r>
    </w:p>
    <w:p w:rsidR="006C1E7C" w:rsidRDefault="006C1E7C" w:rsidP="006C1E7C">
      <w:pPr>
        <w:spacing w:before="280" w:after="280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6C1E7C" w:rsidRDefault="006C1E7C" w:rsidP="006C1E7C">
      <w:pPr>
        <w:spacing w:before="280" w:after="280"/>
        <w:ind w:left="37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C1E7C" w:rsidRDefault="006C1E7C" w:rsidP="006C1E7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6C1E7C" w:rsidRDefault="006C1E7C" w:rsidP="006C1E7C">
      <w:pPr>
        <w:spacing w:before="280" w:after="280"/>
        <w:ind w:firstLine="14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</w:t>
      </w:r>
      <w:r>
        <w:rPr>
          <w:b/>
          <w:bCs/>
          <w:sz w:val="24"/>
          <w:szCs w:val="24"/>
        </w:rPr>
        <w:t>EMPRESA STANGEL DEIPSON DE CARVALHO CNPJ n° 10.407.720/0001-20</w:t>
      </w:r>
      <w:r>
        <w:rPr>
          <w:color w:val="000000"/>
          <w:sz w:val="24"/>
          <w:szCs w:val="24"/>
        </w:rPr>
        <w:t>, u</w:t>
      </w:r>
      <w:r>
        <w:rPr>
          <w:sz w:val="24"/>
          <w:szCs w:val="24"/>
        </w:rPr>
        <w:t xml:space="preserve">m terreno de 800 metros quadrados, lote 01 da quadra “A” do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 I, com seguintes confrontações: frente para Rua: </w:t>
      </w:r>
      <w:proofErr w:type="spellStart"/>
      <w:r>
        <w:rPr>
          <w:sz w:val="24"/>
          <w:szCs w:val="24"/>
        </w:rPr>
        <w:t>Lizandro</w:t>
      </w:r>
      <w:proofErr w:type="spellEnd"/>
      <w:r>
        <w:rPr>
          <w:sz w:val="24"/>
          <w:szCs w:val="24"/>
        </w:rPr>
        <w:t xml:space="preserve"> Veloso da Cunha, numa extensão de 20,00m, lateral direita com lote 02, numa extensão de 40,00 m, lateral esquerda na Rua Maria </w:t>
      </w:r>
      <w:proofErr w:type="spellStart"/>
      <w:r>
        <w:rPr>
          <w:sz w:val="24"/>
          <w:szCs w:val="24"/>
        </w:rPr>
        <w:t>Honorina</w:t>
      </w:r>
      <w:proofErr w:type="spellEnd"/>
      <w:r>
        <w:rPr>
          <w:sz w:val="24"/>
          <w:szCs w:val="24"/>
        </w:rPr>
        <w:t xml:space="preserve"> da Conceição, com extensão de 40,00 m, e fundos com área não loteada, perfazendo uma área de 800,00 metros quadrados, </w:t>
      </w:r>
      <w:r>
        <w:rPr>
          <w:color w:val="000000"/>
          <w:sz w:val="24"/>
          <w:szCs w:val="24"/>
        </w:rPr>
        <w:t>conforme memorial descritivo e “croqui”, em anexo.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6C1E7C" w:rsidRDefault="006C1E7C" w:rsidP="006C1E7C">
      <w:pPr>
        <w:spacing w:before="280" w:after="280"/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</w:t>
      </w:r>
      <w:r>
        <w:rPr>
          <w:color w:val="000000"/>
          <w:sz w:val="24"/>
          <w:szCs w:val="24"/>
        </w:rPr>
        <w:lastRenderedPageBreak/>
        <w:t>no caso de garantia de financiamento concedido, exclusivamente, por entidades do Sistema Financeiro Nacional.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6C1E7C" w:rsidRDefault="006C1E7C" w:rsidP="006C1E7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6C1E7C" w:rsidRDefault="006C1E7C" w:rsidP="006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 Gabinete do Prefeito em Formiga, 07 de abril de 2011.</w:t>
      </w:r>
    </w:p>
    <w:p w:rsidR="006C1E7C" w:rsidRDefault="006C1E7C" w:rsidP="006C1E7C">
      <w:pPr>
        <w:jc w:val="both"/>
        <w:rPr>
          <w:sz w:val="24"/>
          <w:szCs w:val="24"/>
        </w:rPr>
      </w:pPr>
    </w:p>
    <w:p w:rsidR="006C1E7C" w:rsidRDefault="006C1E7C" w:rsidP="006C1E7C">
      <w:pPr>
        <w:jc w:val="both"/>
        <w:rPr>
          <w:sz w:val="24"/>
          <w:szCs w:val="24"/>
        </w:rPr>
      </w:pPr>
    </w:p>
    <w:p w:rsidR="006C1E7C" w:rsidRDefault="006C1E7C" w:rsidP="006C1E7C">
      <w:pPr>
        <w:jc w:val="both"/>
        <w:rPr>
          <w:sz w:val="24"/>
          <w:szCs w:val="24"/>
        </w:rPr>
      </w:pPr>
    </w:p>
    <w:p w:rsidR="006C1E7C" w:rsidRDefault="006C1E7C" w:rsidP="006C1E7C">
      <w:pPr>
        <w:jc w:val="both"/>
        <w:rPr>
          <w:sz w:val="24"/>
          <w:szCs w:val="24"/>
        </w:rPr>
      </w:pPr>
    </w:p>
    <w:p w:rsidR="006C1E7C" w:rsidRDefault="006C1E7C" w:rsidP="006C1E7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C1E7C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6C1E7C" w:rsidRDefault="006C1E7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C1E7C" w:rsidRDefault="006C1E7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C1E7C" w:rsidRDefault="006C1E7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C1E7C" w:rsidRDefault="006C1E7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C1E7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7C"/>
    <w:rsid w:val="000A2C50"/>
    <w:rsid w:val="00147E9B"/>
    <w:rsid w:val="004662F0"/>
    <w:rsid w:val="005B4ECA"/>
    <w:rsid w:val="006C1E7C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DC28-4C9E-4BF6-A610-0A308B2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7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2018-08-30T18:35:00Z</dcterms:created>
  <dcterms:modified xsi:type="dcterms:W3CDTF">2018-08-30T18:35:00Z</dcterms:modified>
</cp:coreProperties>
</file>