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38" w:rsidRDefault="00166C38" w:rsidP="00166C38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4445,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27 DE ABRIL DE 2011</w:t>
      </w:r>
    </w:p>
    <w:p w:rsidR="00166C38" w:rsidRDefault="00166C38" w:rsidP="00166C38">
      <w:pPr>
        <w:keepNext/>
        <w:jc w:val="center"/>
        <w:rPr>
          <w:sz w:val="24"/>
          <w:szCs w:val="24"/>
        </w:rPr>
      </w:pPr>
    </w:p>
    <w:p w:rsidR="00166C38" w:rsidRDefault="00166C38" w:rsidP="00166C38">
      <w:pPr>
        <w:keepNext/>
        <w:jc w:val="center"/>
        <w:rPr>
          <w:sz w:val="24"/>
          <w:szCs w:val="24"/>
        </w:rPr>
      </w:pPr>
    </w:p>
    <w:p w:rsidR="00166C38" w:rsidRDefault="00166C38" w:rsidP="00166C38">
      <w:pPr>
        <w:keepNext/>
        <w:jc w:val="center"/>
        <w:rPr>
          <w:sz w:val="24"/>
          <w:szCs w:val="24"/>
        </w:rPr>
      </w:pPr>
    </w:p>
    <w:p w:rsidR="00166C38" w:rsidRDefault="00166C38" w:rsidP="00166C38">
      <w:pPr>
        <w:spacing w:before="280" w:after="280"/>
        <w:ind w:left="4111"/>
        <w:jc w:val="both"/>
      </w:pPr>
      <w:r>
        <w:t>Autoriza a permuta de imóvel que menciona, altera redação de dispositivos da Lei nº 4388, de 22 de novembro de 2010, e dá outras providências.</w:t>
      </w:r>
    </w:p>
    <w:p w:rsidR="00166C38" w:rsidRDefault="00166C38" w:rsidP="00166C38">
      <w:pPr>
        <w:spacing w:before="280" w:after="280"/>
        <w:ind w:left="4253"/>
        <w:jc w:val="both"/>
      </w:pPr>
      <w:r>
        <w:t> </w:t>
      </w:r>
    </w:p>
    <w:p w:rsidR="00166C38" w:rsidRDefault="00166C38" w:rsidP="00166C38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 A CÂMARA MUNICIPAL DE FORMIGA APROVOU E EU SANCIONO A SEGUINTE LEI:</w:t>
      </w:r>
    </w:p>
    <w:p w:rsidR="00166C38" w:rsidRDefault="00166C38" w:rsidP="00166C38">
      <w:pPr>
        <w:tabs>
          <w:tab w:val="left" w:pos="1418"/>
        </w:tabs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</w:t>
      </w: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Os artigos 2º e 3º da Lei nº 3199, de 03 de outubro de 2000, com redação alterada pela Lei nº 4388, de 22 de novembro de 2010, passam a viger com a seguinte redação:</w:t>
      </w:r>
    </w:p>
    <w:p w:rsidR="00166C38" w:rsidRDefault="00166C38" w:rsidP="00166C38">
      <w:pPr>
        <w:spacing w:before="280" w:after="280"/>
        <w:ind w:firstLine="141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</w:t>
      </w:r>
      <w:r>
        <w:rPr>
          <w:b/>
          <w:bCs/>
          <w:i/>
          <w:iCs/>
          <w:sz w:val="24"/>
          <w:szCs w:val="24"/>
        </w:rPr>
        <w:t xml:space="preserve">Art. 2º </w:t>
      </w:r>
      <w:r>
        <w:rPr>
          <w:i/>
          <w:iCs/>
          <w:sz w:val="24"/>
          <w:szCs w:val="24"/>
        </w:rPr>
        <w:t xml:space="preserve">Com a desafetação prevista no artigo anterior, fica o Poder Executivo autorizado a doar imóvel para a Fundação Educacional Comunitária </w:t>
      </w:r>
      <w:proofErr w:type="spellStart"/>
      <w:r>
        <w:rPr>
          <w:i/>
          <w:iCs/>
          <w:sz w:val="24"/>
          <w:szCs w:val="24"/>
        </w:rPr>
        <w:t>Formiguense</w:t>
      </w:r>
      <w:proofErr w:type="spellEnd"/>
      <w:r>
        <w:rPr>
          <w:i/>
          <w:iCs/>
          <w:sz w:val="24"/>
          <w:szCs w:val="24"/>
        </w:rPr>
        <w:t xml:space="preserve"> caracterizado como sendo uma área de 111,22 m² com as seguintes confrontações: 7,00 m de frente para o remanescente do imóvel ora desafetado e 7,00 m de fundo, dividindo com a Fundação Educacional Comunitária </w:t>
      </w:r>
      <w:proofErr w:type="spellStart"/>
      <w:r>
        <w:rPr>
          <w:i/>
          <w:iCs/>
          <w:sz w:val="24"/>
          <w:szCs w:val="24"/>
        </w:rPr>
        <w:t>Formiguense</w:t>
      </w:r>
      <w:proofErr w:type="spellEnd"/>
      <w:r>
        <w:rPr>
          <w:i/>
          <w:iCs/>
          <w:sz w:val="24"/>
          <w:szCs w:val="24"/>
        </w:rPr>
        <w:t xml:space="preserve"> (Escola Corujinha); 16,00 m na lateral esquerda, e 16,81 m na lateral direita, dividindo com o imóvel da Fundação Educacional Comunitária </w:t>
      </w:r>
      <w:proofErr w:type="spellStart"/>
      <w:r>
        <w:rPr>
          <w:i/>
          <w:iCs/>
          <w:sz w:val="24"/>
          <w:szCs w:val="24"/>
        </w:rPr>
        <w:t>Formiguense</w:t>
      </w:r>
      <w:proofErr w:type="spellEnd"/>
      <w:r>
        <w:rPr>
          <w:i/>
          <w:iCs/>
          <w:sz w:val="24"/>
          <w:szCs w:val="24"/>
        </w:rPr>
        <w:t xml:space="preserve"> (Escola Corujinha), cuja destinação é a legalização de área já ocupada pela Escola Corujinha.</w:t>
      </w:r>
    </w:p>
    <w:p w:rsidR="00166C38" w:rsidRDefault="00166C38" w:rsidP="00166C38">
      <w:pPr>
        <w:spacing w:before="280" w:after="280"/>
        <w:ind w:firstLine="141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</w:t>
      </w:r>
      <w:r>
        <w:rPr>
          <w:b/>
          <w:bCs/>
          <w:i/>
          <w:iCs/>
          <w:sz w:val="24"/>
          <w:szCs w:val="24"/>
        </w:rPr>
        <w:t xml:space="preserve">Art. 3º </w:t>
      </w:r>
      <w:r>
        <w:rPr>
          <w:i/>
          <w:iCs/>
          <w:sz w:val="24"/>
          <w:szCs w:val="24"/>
        </w:rPr>
        <w:t xml:space="preserve">Com a desafetação prevista no artigo anterior, fica o Poder Executivo autorizado a permutar com a Empresa Comercial Padre Vitor </w:t>
      </w:r>
      <w:proofErr w:type="spellStart"/>
      <w:r>
        <w:rPr>
          <w:i/>
          <w:iCs/>
          <w:sz w:val="24"/>
          <w:szCs w:val="24"/>
        </w:rPr>
        <w:t>Ltda</w:t>
      </w:r>
      <w:proofErr w:type="spellEnd"/>
      <w:r>
        <w:rPr>
          <w:i/>
          <w:iCs/>
          <w:sz w:val="24"/>
          <w:szCs w:val="24"/>
        </w:rPr>
        <w:t xml:space="preserve">, inscrita no CNPJ nº 16.784.670/0001-86, o imóvel caracterizado como sendo uma área com 216,93 m²,  localizada na Avenida Guiomar Garcia Neto, confrontando pelo lado direito com Expedito Alves de Oliveira, numa distância de 31,0 m; pelo lado esquerdo com Expedito Alves de Oliveira, numa distância de 31,0 m; fundos com a área B, numa distância de 7,0 m; e frente para a Avenida Guiomar Garcia Neto, numa distância de 7,0 m, por um veículo caracterizado como sendo: Sprinter Van 313, 16 lugares, bancos de vinil, direção hidráulica, sistema </w:t>
      </w:r>
      <w:proofErr w:type="spellStart"/>
      <w:r>
        <w:rPr>
          <w:i/>
          <w:iCs/>
          <w:sz w:val="24"/>
          <w:szCs w:val="24"/>
        </w:rPr>
        <w:t>Assysti</w:t>
      </w:r>
      <w:proofErr w:type="spellEnd"/>
      <w:r>
        <w:rPr>
          <w:i/>
          <w:iCs/>
          <w:sz w:val="24"/>
          <w:szCs w:val="24"/>
        </w:rPr>
        <w:t xml:space="preserve">, vidros e retrovisores externos elétricos, controle de travamento central das portas, movida a óleo diesel, turbo-alimentado com sistema de refrigeração tipo </w:t>
      </w:r>
      <w:proofErr w:type="spellStart"/>
      <w:r>
        <w:rPr>
          <w:i/>
          <w:iCs/>
          <w:sz w:val="24"/>
          <w:szCs w:val="24"/>
        </w:rPr>
        <w:t>intercooler</w:t>
      </w:r>
      <w:proofErr w:type="spellEnd"/>
      <w:r>
        <w:rPr>
          <w:i/>
          <w:iCs/>
          <w:sz w:val="24"/>
          <w:szCs w:val="24"/>
        </w:rPr>
        <w:t xml:space="preserve">, 2,150 cilindradas, potência 129 </w:t>
      </w:r>
      <w:proofErr w:type="spellStart"/>
      <w:r>
        <w:rPr>
          <w:i/>
          <w:iCs/>
          <w:sz w:val="24"/>
          <w:szCs w:val="24"/>
        </w:rPr>
        <w:t>cv</w:t>
      </w:r>
      <w:proofErr w:type="spellEnd"/>
      <w:r>
        <w:rPr>
          <w:i/>
          <w:iCs/>
          <w:sz w:val="24"/>
          <w:szCs w:val="24"/>
        </w:rPr>
        <w:t xml:space="preserve">, tração traseira, caixa de câmbio com 5 </w:t>
      </w:r>
      <w:proofErr w:type="spellStart"/>
      <w:r>
        <w:rPr>
          <w:i/>
          <w:iCs/>
          <w:sz w:val="24"/>
          <w:szCs w:val="24"/>
        </w:rPr>
        <w:t>marças</w:t>
      </w:r>
      <w:proofErr w:type="spellEnd"/>
      <w:r>
        <w:rPr>
          <w:i/>
          <w:iCs/>
          <w:sz w:val="24"/>
          <w:szCs w:val="24"/>
        </w:rPr>
        <w:t xml:space="preserve"> à frente e uma ré, freios ABS/ASR, faróis </w:t>
      </w:r>
      <w:proofErr w:type="spellStart"/>
      <w:r>
        <w:rPr>
          <w:i/>
          <w:iCs/>
          <w:sz w:val="24"/>
          <w:szCs w:val="24"/>
        </w:rPr>
        <w:t>antineblina</w:t>
      </w:r>
      <w:proofErr w:type="spellEnd"/>
      <w:r>
        <w:rPr>
          <w:i/>
          <w:iCs/>
          <w:sz w:val="24"/>
          <w:szCs w:val="24"/>
        </w:rPr>
        <w:t xml:space="preserve">, tacógrafo eletrônico, porta lateral deslizante, ano 2011/2011”. </w:t>
      </w:r>
    </w:p>
    <w:p w:rsidR="00166C38" w:rsidRDefault="00166C38" w:rsidP="00166C38">
      <w:pPr>
        <w:spacing w:before="280" w:after="280"/>
        <w:jc w:val="both"/>
        <w:rPr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                        Art. 2º </w:t>
      </w:r>
      <w:r>
        <w:rPr>
          <w:sz w:val="24"/>
          <w:szCs w:val="24"/>
        </w:rPr>
        <w:t xml:space="preserve">Não se aplica à permuta descrita no artigo 3º da Lei nº 3199, de 03 de outubro de 2000, com redação alterada pela Lei nº 4388, de 22 de novembro de 2010, e com redação determinada </w:t>
      </w:r>
      <w:proofErr w:type="gramStart"/>
      <w:r>
        <w:rPr>
          <w:sz w:val="24"/>
          <w:szCs w:val="24"/>
        </w:rPr>
        <w:t>por  esta</w:t>
      </w:r>
      <w:proofErr w:type="gramEnd"/>
      <w:r>
        <w:rPr>
          <w:sz w:val="24"/>
          <w:szCs w:val="24"/>
        </w:rPr>
        <w:t xml:space="preserve"> Lei, as restrições contidas nos artigos 4º, 5º, 6º e 7º da Lei nº 4388, de 22 de novembro de 2010. </w:t>
      </w:r>
    </w:p>
    <w:p w:rsidR="00166C38" w:rsidRDefault="00166C38" w:rsidP="00166C38">
      <w:pPr>
        <w:tabs>
          <w:tab w:val="left" w:pos="1418"/>
        </w:tabs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 </w:t>
      </w: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O art. 6º da Lei nº 4388, de 22 de novembro de 2010, passa a viger com a seguinte redação:</w:t>
      </w:r>
    </w:p>
    <w:p w:rsidR="00166C38" w:rsidRDefault="00166C38" w:rsidP="00166C38">
      <w:pPr>
        <w:spacing w:before="280" w:after="280"/>
        <w:ind w:firstLine="1418"/>
        <w:jc w:val="both"/>
        <w:rPr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“</w:t>
      </w:r>
      <w:r>
        <w:rPr>
          <w:b/>
          <w:bCs/>
          <w:i/>
          <w:iCs/>
          <w:sz w:val="24"/>
          <w:szCs w:val="24"/>
        </w:rPr>
        <w:t>Art. 6º</w:t>
      </w:r>
      <w:r>
        <w:rPr>
          <w:i/>
          <w:iCs/>
          <w:sz w:val="24"/>
          <w:szCs w:val="24"/>
        </w:rPr>
        <w:t xml:space="preserve"> Os referidos imóveis, com a doação, tornam-se indivisíveis, inalienáveis, intransferíveis e impenhoráveis, sob pena de anulação automática da </w:t>
      </w:r>
      <w:r>
        <w:rPr>
          <w:i/>
          <w:iCs/>
          <w:sz w:val="24"/>
          <w:szCs w:val="24"/>
        </w:rPr>
        <w:lastRenderedPageBreak/>
        <w:t xml:space="preserve">Escritura Pública de Doação do Bem e sua </w:t>
      </w:r>
      <w:proofErr w:type="spellStart"/>
      <w:r>
        <w:rPr>
          <w:i/>
          <w:iCs/>
          <w:sz w:val="24"/>
          <w:szCs w:val="24"/>
        </w:rPr>
        <w:t>conseqüente</w:t>
      </w:r>
      <w:proofErr w:type="spellEnd"/>
      <w:r>
        <w:rPr>
          <w:i/>
          <w:iCs/>
          <w:sz w:val="24"/>
          <w:szCs w:val="24"/>
        </w:rPr>
        <w:t xml:space="preserve"> reversão ao Patrimônio Público do Município, por um prazo de 05 (cinco) anos, exceto no caso de garantia de financiamento concedido, exclusivamente, por entidades do Sistema Financeiro </w:t>
      </w:r>
      <w:proofErr w:type="gramStart"/>
      <w:r>
        <w:rPr>
          <w:i/>
          <w:iCs/>
          <w:sz w:val="24"/>
          <w:szCs w:val="24"/>
        </w:rPr>
        <w:t>Nacional.”</w:t>
      </w:r>
      <w:proofErr w:type="gramEnd"/>
    </w:p>
    <w:p w:rsidR="00166C38" w:rsidRDefault="00166C38" w:rsidP="00166C38">
      <w:pPr>
        <w:spacing w:before="280" w:after="280"/>
        <w:ind w:firstLine="141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Art. 4º </w:t>
      </w:r>
      <w:r>
        <w:rPr>
          <w:color w:val="000000"/>
          <w:sz w:val="24"/>
          <w:szCs w:val="24"/>
        </w:rPr>
        <w:t>Revogam-se as disposições em contrário.</w:t>
      </w:r>
    </w:p>
    <w:p w:rsidR="00166C38" w:rsidRDefault="00166C38" w:rsidP="00166C38">
      <w:pPr>
        <w:spacing w:before="280" w:after="280"/>
        <w:ind w:firstLine="141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5º </w:t>
      </w:r>
      <w:r>
        <w:rPr>
          <w:color w:val="000000"/>
          <w:sz w:val="24"/>
          <w:szCs w:val="24"/>
        </w:rPr>
        <w:t>Esta Lei entrará em vigor na data de sua publicação.</w:t>
      </w:r>
    </w:p>
    <w:p w:rsidR="00166C38" w:rsidRDefault="00166C38" w:rsidP="00166C38">
      <w:pPr>
        <w:keepNext/>
        <w:jc w:val="center"/>
        <w:rPr>
          <w:sz w:val="24"/>
          <w:szCs w:val="24"/>
        </w:rPr>
      </w:pPr>
    </w:p>
    <w:p w:rsidR="00166C38" w:rsidRDefault="00166C38" w:rsidP="00166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27 de abril de 2011.</w:t>
      </w:r>
    </w:p>
    <w:p w:rsidR="00166C38" w:rsidRDefault="00166C38" w:rsidP="00166C38">
      <w:pPr>
        <w:jc w:val="both"/>
        <w:rPr>
          <w:sz w:val="24"/>
          <w:szCs w:val="24"/>
        </w:rPr>
      </w:pPr>
    </w:p>
    <w:p w:rsidR="00166C38" w:rsidRDefault="00166C38" w:rsidP="00166C38">
      <w:pPr>
        <w:jc w:val="both"/>
        <w:rPr>
          <w:sz w:val="24"/>
          <w:szCs w:val="24"/>
        </w:rPr>
      </w:pPr>
    </w:p>
    <w:p w:rsidR="00166C38" w:rsidRDefault="00166C38" w:rsidP="00166C38">
      <w:pPr>
        <w:keepNext/>
        <w:jc w:val="center"/>
        <w:rPr>
          <w:sz w:val="24"/>
          <w:szCs w:val="24"/>
        </w:rPr>
      </w:pPr>
    </w:p>
    <w:p w:rsidR="00166C38" w:rsidRDefault="00166C38" w:rsidP="00166C38">
      <w:pPr>
        <w:jc w:val="both"/>
        <w:rPr>
          <w:sz w:val="24"/>
          <w:szCs w:val="24"/>
        </w:rPr>
      </w:pPr>
    </w:p>
    <w:p w:rsidR="00166C38" w:rsidRDefault="00166C38" w:rsidP="00166C38">
      <w:pPr>
        <w:jc w:val="both"/>
        <w:rPr>
          <w:sz w:val="24"/>
          <w:szCs w:val="24"/>
        </w:rPr>
      </w:pPr>
    </w:p>
    <w:p w:rsidR="00166C38" w:rsidRDefault="00166C38" w:rsidP="00166C38">
      <w:pPr>
        <w:jc w:val="both"/>
        <w:rPr>
          <w:sz w:val="24"/>
          <w:szCs w:val="24"/>
        </w:rPr>
      </w:pPr>
    </w:p>
    <w:p w:rsidR="00166C38" w:rsidRDefault="00166C38" w:rsidP="00166C38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66C38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166C38" w:rsidRDefault="00166C38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166C38" w:rsidRDefault="00166C38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66C38" w:rsidRDefault="00166C38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166C38" w:rsidRDefault="00166C38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166C3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38"/>
    <w:rsid w:val="000A2C50"/>
    <w:rsid w:val="00147E9B"/>
    <w:rsid w:val="00166C38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E5DC0-2DBC-464A-8C31-B84CEC19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3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2018-08-30T18:40:00Z</dcterms:created>
  <dcterms:modified xsi:type="dcterms:W3CDTF">2018-08-30T18:40:00Z</dcterms:modified>
</cp:coreProperties>
</file>