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1D" w:rsidRDefault="00CF051D" w:rsidP="00CF051D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4454,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01 DE JUNHO DE 2011</w:t>
      </w:r>
    </w:p>
    <w:p w:rsidR="00CF051D" w:rsidRDefault="00CF051D" w:rsidP="00CF051D">
      <w:pPr>
        <w:keepNext/>
        <w:ind w:left="4819"/>
        <w:jc w:val="both"/>
      </w:pPr>
    </w:p>
    <w:p w:rsidR="00CF051D" w:rsidRDefault="00CF051D" w:rsidP="00CF051D">
      <w:pPr>
        <w:spacing w:line="278" w:lineRule="auto"/>
        <w:rPr>
          <w:rFonts w:ascii="Arial" w:hAnsi="Arial" w:cs="Arial"/>
          <w:b/>
          <w:color w:val="000000"/>
        </w:rPr>
      </w:pPr>
    </w:p>
    <w:p w:rsidR="00CF051D" w:rsidRDefault="00CF051D" w:rsidP="00CF051D">
      <w:pPr>
        <w:ind w:left="4819"/>
        <w:jc w:val="both"/>
      </w:pPr>
      <w:r>
        <w:t>Dispõe sobre a fixação de placa informativa nas obras públicas e dá outras providências.</w:t>
      </w:r>
    </w:p>
    <w:p w:rsidR="00CF051D" w:rsidRDefault="00CF051D" w:rsidP="00CF051D">
      <w:pPr>
        <w:ind w:left="4819"/>
        <w:jc w:val="both"/>
      </w:pPr>
    </w:p>
    <w:p w:rsidR="00CF051D" w:rsidRDefault="00CF051D" w:rsidP="00CF051D">
      <w:pPr>
        <w:spacing w:line="278" w:lineRule="auto"/>
        <w:ind w:left="4819"/>
        <w:rPr>
          <w:rFonts w:ascii="Arial" w:hAnsi="Arial" w:cs="Arial"/>
          <w:b/>
          <w:color w:val="000000"/>
        </w:rPr>
      </w:pPr>
    </w:p>
    <w:p w:rsidR="00CF051D" w:rsidRDefault="00CF051D" w:rsidP="00CF051D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CF051D" w:rsidRDefault="00CF051D" w:rsidP="00CF051D">
      <w:pPr>
        <w:ind w:firstLine="1417"/>
        <w:jc w:val="both"/>
        <w:rPr>
          <w:sz w:val="24"/>
          <w:szCs w:val="24"/>
        </w:rPr>
      </w:pPr>
    </w:p>
    <w:p w:rsidR="00CF051D" w:rsidRDefault="00CF051D" w:rsidP="00CF051D">
      <w:pPr>
        <w:ind w:firstLine="1417"/>
        <w:jc w:val="both"/>
        <w:rPr>
          <w:sz w:val="24"/>
          <w:szCs w:val="24"/>
        </w:rPr>
      </w:pPr>
    </w:p>
    <w:p w:rsidR="00CF051D" w:rsidRDefault="00CF051D" w:rsidP="00CF0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color w:val="000000"/>
          <w:sz w:val="24"/>
          <w:szCs w:val="24"/>
        </w:rPr>
      </w:pPr>
    </w:p>
    <w:p w:rsidR="00CF051D" w:rsidRDefault="00CF051D" w:rsidP="00CF0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  <w:hyperlink r:id="rId4" w:history="1">
        <w:r>
          <w:rPr>
            <w:rStyle w:val="Hyperlink"/>
          </w:rPr>
          <w:t>Art. 1º</w:t>
        </w:r>
      </w:hyperlink>
      <w:proofErr w:type="gramStart"/>
      <w:r>
        <w:rPr>
          <w:sz w:val="24"/>
          <w:szCs w:val="24"/>
        </w:rPr>
        <w:t xml:space="preserve"> Fica</w:t>
      </w:r>
      <w:proofErr w:type="gramEnd"/>
      <w:r>
        <w:rPr>
          <w:sz w:val="24"/>
          <w:szCs w:val="24"/>
        </w:rPr>
        <w:t xml:space="preserve"> instituída a obrigatoriedade da afixação de placa informativa nas obras públicas executadas pela administração pública direta, indireta ou por empresa particular contratada pelo Poder Público, para este fim. </w:t>
      </w:r>
    </w:p>
    <w:p w:rsidR="00CF051D" w:rsidRDefault="00CF051D" w:rsidP="00CF0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</w:p>
    <w:p w:rsidR="00CF051D" w:rsidRDefault="00CF051D" w:rsidP="00CF0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. A obrigatoriedade a que se refere 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 deste artigo destina aos Secretários Municipais e Diretores Equivalentes que deverão elaborar e afixar a placa inaugural, nos termos desta Lei.</w:t>
      </w:r>
    </w:p>
    <w:p w:rsidR="00CF051D" w:rsidRDefault="00CF051D" w:rsidP="00CF0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b/>
          <w:bCs/>
          <w:sz w:val="24"/>
          <w:szCs w:val="24"/>
        </w:rPr>
      </w:pPr>
    </w:p>
    <w:p w:rsidR="00CF051D" w:rsidRDefault="00CF051D" w:rsidP="00CF051D">
      <w:pPr>
        <w:shd w:val="clear" w:color="auto" w:fill="FFFFFF"/>
        <w:ind w:firstLine="1417"/>
        <w:jc w:val="both"/>
        <w:rPr>
          <w:sz w:val="24"/>
          <w:szCs w:val="24"/>
        </w:rPr>
      </w:pPr>
      <w:hyperlink r:id="rId5" w:history="1">
        <w:r>
          <w:rPr>
            <w:rStyle w:val="Hyperlink"/>
          </w:rPr>
          <w:t>Art. 2º</w:t>
        </w:r>
      </w:hyperlink>
      <w:r>
        <w:rPr>
          <w:sz w:val="24"/>
          <w:szCs w:val="24"/>
        </w:rPr>
        <w:t xml:space="preserve"> A placa de que trata o artigo anterior deverá conter, no mínimo, as seguintes informações: </w:t>
      </w:r>
    </w:p>
    <w:p w:rsidR="00CF051D" w:rsidRDefault="00CF051D" w:rsidP="00CF051D">
      <w:pPr>
        <w:shd w:val="clear" w:color="auto" w:fill="FFFFFF"/>
        <w:ind w:firstLine="1417"/>
        <w:jc w:val="both"/>
        <w:rPr>
          <w:sz w:val="24"/>
          <w:szCs w:val="24"/>
        </w:rPr>
      </w:pPr>
    </w:p>
    <w:p w:rsidR="00CF051D" w:rsidRDefault="00CF051D" w:rsidP="00CF051D">
      <w:pPr>
        <w:shd w:val="clear" w:color="auto" w:fill="FFFFFF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finalidade</w:t>
      </w:r>
      <w:proofErr w:type="gramEnd"/>
      <w:r>
        <w:rPr>
          <w:sz w:val="24"/>
          <w:szCs w:val="24"/>
        </w:rPr>
        <w:t xml:space="preserve"> da obra; </w:t>
      </w:r>
    </w:p>
    <w:p w:rsidR="00CF051D" w:rsidRDefault="00CF051D" w:rsidP="00CF051D">
      <w:pPr>
        <w:shd w:val="clear" w:color="auto" w:fill="FFFFFF"/>
        <w:ind w:firstLine="1417"/>
        <w:jc w:val="both"/>
        <w:rPr>
          <w:sz w:val="24"/>
          <w:szCs w:val="24"/>
        </w:rPr>
      </w:pPr>
    </w:p>
    <w:p w:rsidR="00CF051D" w:rsidRDefault="00CF051D" w:rsidP="00CF051D">
      <w:pPr>
        <w:shd w:val="clear" w:color="auto" w:fill="FFFFFF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prazo previsto para duração da obra, discriminando a data do início e do término da obra;</w:t>
      </w:r>
    </w:p>
    <w:p w:rsidR="00CF051D" w:rsidRDefault="00CF051D" w:rsidP="00CF051D">
      <w:pPr>
        <w:shd w:val="clear" w:color="auto" w:fill="FFFFFF"/>
        <w:ind w:firstLine="1417"/>
        <w:jc w:val="both"/>
        <w:rPr>
          <w:sz w:val="24"/>
          <w:szCs w:val="24"/>
        </w:rPr>
      </w:pPr>
    </w:p>
    <w:p w:rsidR="00CF051D" w:rsidRDefault="00CF051D" w:rsidP="00CF051D">
      <w:pPr>
        <w:shd w:val="clear" w:color="auto" w:fill="FFFFFF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nome da empresa responsável pela obra; </w:t>
      </w:r>
    </w:p>
    <w:p w:rsidR="00CF051D" w:rsidRDefault="00CF051D" w:rsidP="00CF051D">
      <w:pPr>
        <w:shd w:val="clear" w:color="auto" w:fill="FFFFFF"/>
        <w:ind w:firstLine="1417"/>
        <w:jc w:val="both"/>
        <w:rPr>
          <w:sz w:val="24"/>
          <w:szCs w:val="24"/>
        </w:rPr>
      </w:pPr>
    </w:p>
    <w:p w:rsidR="00CF051D" w:rsidRDefault="00CF051D" w:rsidP="00CF051D">
      <w:pPr>
        <w:shd w:val="clear" w:color="auto" w:fill="FFFFFF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gramStart"/>
      <w:r>
        <w:rPr>
          <w:sz w:val="24"/>
          <w:szCs w:val="24"/>
        </w:rPr>
        <w:t>previsão</w:t>
      </w:r>
      <w:proofErr w:type="gramEnd"/>
      <w:r>
        <w:rPr>
          <w:sz w:val="24"/>
          <w:szCs w:val="24"/>
        </w:rPr>
        <w:t xml:space="preserve"> dos custos para execução da obra; </w:t>
      </w:r>
    </w:p>
    <w:p w:rsidR="00CF051D" w:rsidRDefault="00CF051D" w:rsidP="00CF051D">
      <w:pPr>
        <w:shd w:val="clear" w:color="auto" w:fill="FFFFFF"/>
        <w:ind w:firstLine="1417"/>
        <w:jc w:val="both"/>
        <w:rPr>
          <w:sz w:val="24"/>
          <w:szCs w:val="24"/>
        </w:rPr>
      </w:pPr>
    </w:p>
    <w:p w:rsidR="00CF051D" w:rsidRDefault="00CF051D" w:rsidP="00CF051D">
      <w:pPr>
        <w:shd w:val="clear" w:color="auto" w:fill="FFFFFF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gramStart"/>
      <w:r>
        <w:rPr>
          <w:sz w:val="24"/>
          <w:szCs w:val="24"/>
        </w:rPr>
        <w:t>órgão</w:t>
      </w:r>
      <w:proofErr w:type="gramEnd"/>
      <w:r>
        <w:rPr>
          <w:sz w:val="24"/>
          <w:szCs w:val="24"/>
        </w:rPr>
        <w:t xml:space="preserve"> municipal vinculado à obra; </w:t>
      </w:r>
    </w:p>
    <w:p w:rsidR="00CF051D" w:rsidRDefault="00CF051D" w:rsidP="00CF051D">
      <w:pPr>
        <w:shd w:val="clear" w:color="auto" w:fill="FFFFFF"/>
        <w:ind w:firstLine="1417"/>
        <w:jc w:val="both"/>
        <w:rPr>
          <w:sz w:val="24"/>
          <w:szCs w:val="24"/>
        </w:rPr>
      </w:pPr>
    </w:p>
    <w:p w:rsidR="00CF051D" w:rsidRDefault="00CF051D" w:rsidP="00CF051D">
      <w:pPr>
        <w:shd w:val="clear" w:color="auto" w:fill="FFFFFF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VI - número de telefone para recebimento de reclamações.</w:t>
      </w:r>
    </w:p>
    <w:p w:rsidR="00CF051D" w:rsidRDefault="00CF051D" w:rsidP="00CF051D">
      <w:pPr>
        <w:shd w:val="clear" w:color="auto" w:fill="FFFFFF"/>
        <w:ind w:firstLine="1417"/>
        <w:jc w:val="both"/>
        <w:rPr>
          <w:sz w:val="24"/>
          <w:szCs w:val="24"/>
        </w:rPr>
      </w:pPr>
    </w:p>
    <w:p w:rsidR="00CF051D" w:rsidRDefault="00CF051D" w:rsidP="00CF0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Parágrafo único. </w:t>
      </w:r>
      <w:r>
        <w:rPr>
          <w:color w:val="000000"/>
          <w:sz w:val="24"/>
          <w:szCs w:val="24"/>
        </w:rPr>
        <w:t xml:space="preserve"> Nas obras públicas em que houver aplicação de recursos orçamentários provenientes de devoluções de repasses </w:t>
      </w:r>
      <w:proofErr w:type="spellStart"/>
      <w:r>
        <w:rPr>
          <w:color w:val="000000"/>
          <w:sz w:val="24"/>
          <w:szCs w:val="24"/>
        </w:rPr>
        <w:t>feito</w:t>
      </w:r>
      <w:proofErr w:type="spellEnd"/>
      <w:r>
        <w:rPr>
          <w:color w:val="000000"/>
          <w:sz w:val="24"/>
          <w:szCs w:val="24"/>
        </w:rPr>
        <w:t xml:space="preserve"> pela Câmara Municipal de Formiga, tal informação deverá, obrigatoriamente, constar na placa junto àquelas previstas no art. 2º, I a VI, indicando o valor e a data do referido repasse.</w:t>
      </w:r>
    </w:p>
    <w:p w:rsidR="00CF051D" w:rsidRDefault="00CF051D" w:rsidP="00CF0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color w:val="000000"/>
          <w:sz w:val="24"/>
          <w:szCs w:val="24"/>
        </w:rPr>
      </w:pPr>
    </w:p>
    <w:p w:rsidR="00CF051D" w:rsidRDefault="00CF051D" w:rsidP="00CF051D">
      <w:pPr>
        <w:shd w:val="clear" w:color="auto" w:fill="FFFFFF"/>
        <w:spacing w:after="150"/>
        <w:ind w:firstLine="1417"/>
        <w:jc w:val="both"/>
        <w:rPr>
          <w:sz w:val="24"/>
          <w:szCs w:val="24"/>
        </w:rPr>
      </w:pPr>
      <w:hyperlink r:id="rId6" w:history="1">
        <w:r>
          <w:rPr>
            <w:rStyle w:val="Hyperlink"/>
          </w:rPr>
          <w:t>Art. 3º</w:t>
        </w:r>
      </w:hyperlink>
      <w:r>
        <w:rPr>
          <w:sz w:val="24"/>
          <w:szCs w:val="24"/>
        </w:rPr>
        <w:t xml:space="preserve"> A placa informativa de que trata esta Lei deverá ser confeccionada com tamanho mínimo de um metro de altura por dois metros de largura, padronizada com as cores oficiais e o brasão do município e ser afixada em local de fácil visibilidade. </w:t>
      </w:r>
    </w:p>
    <w:p w:rsidR="00CF051D" w:rsidRDefault="00CF051D" w:rsidP="00CF0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  <w:hyperlink r:id="rId7" w:history="1">
        <w:r>
          <w:rPr>
            <w:rStyle w:val="Hyperlink"/>
          </w:rPr>
          <w:t>Art. 4º</w:t>
        </w:r>
      </w:hyperlink>
      <w:r>
        <w:rPr>
          <w:sz w:val="24"/>
          <w:szCs w:val="24"/>
        </w:rPr>
        <w:t xml:space="preserve"> Esta Lei entrará em vigor na data de sua publicação, revogadas as disposições em contrário. </w:t>
      </w:r>
    </w:p>
    <w:p w:rsidR="00CF051D" w:rsidRDefault="00CF051D" w:rsidP="00CF051D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01 de junho de 2011.</w:t>
      </w:r>
    </w:p>
    <w:p w:rsidR="00CF051D" w:rsidRDefault="00CF051D" w:rsidP="00CF051D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F051D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CF051D" w:rsidRDefault="00CF051D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F051D" w:rsidRDefault="00CF051D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F051D" w:rsidRDefault="00CF051D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CF051D" w:rsidRDefault="00CF051D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CF051D" w:rsidRDefault="00CF051D" w:rsidP="00CF051D">
      <w:pPr>
        <w:jc w:val="center"/>
        <w:rPr>
          <w:i/>
          <w:color w:val="000000"/>
        </w:rPr>
      </w:pPr>
    </w:p>
    <w:p w:rsidR="00CF051D" w:rsidRDefault="00CF051D" w:rsidP="00CF051D">
      <w:pPr>
        <w:jc w:val="center"/>
        <w:rPr>
          <w:i/>
          <w:color w:val="000000"/>
        </w:rPr>
      </w:pPr>
      <w:r>
        <w:rPr>
          <w:i/>
          <w:color w:val="000000"/>
        </w:rPr>
        <w:t>Originária do Projeto de Lei nº 358/2011, de autoria do Vereador: Reginaldo Henrique dos Santos.</w:t>
      </w:r>
    </w:p>
    <w:p w:rsidR="00CF051D" w:rsidRDefault="00CF051D" w:rsidP="00CF051D">
      <w:pPr>
        <w:spacing w:line="278" w:lineRule="auto"/>
        <w:ind w:left="4819" w:firstLine="1417"/>
        <w:rPr>
          <w:rFonts w:ascii="Arial" w:hAnsi="Arial" w:cs="Arial"/>
          <w:b/>
          <w:color w:val="000000"/>
        </w:rPr>
      </w:pPr>
    </w:p>
    <w:p w:rsidR="0030374B" w:rsidRDefault="00CF051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1D"/>
    <w:rsid w:val="000A2C50"/>
    <w:rsid w:val="00147E9B"/>
    <w:rsid w:val="004662F0"/>
    <w:rsid w:val="005B4ECA"/>
    <w:rsid w:val="0070535B"/>
    <w:rsid w:val="00757829"/>
    <w:rsid w:val="009E5F9A"/>
    <w:rsid w:val="00CF051D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63CFB-9E63-4B48-BA45-8BBD524A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1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CF0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usbrasil.com.br/legislacao/anotada/9123938/art-4-da-lei-1751-93-foz-do-igua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anotada/9124035/art-3-da-lei-1751-93-foz-do-iguacu" TargetMode="External"/><Relationship Id="rId5" Type="http://schemas.openxmlformats.org/officeDocument/2006/relationships/hyperlink" Target="http://www.jusbrasil.com.br/legislacao/anotada/9124111/art-2-da-lei-1751-93-foz-do-iguacu" TargetMode="External"/><Relationship Id="rId4" Type="http://schemas.openxmlformats.org/officeDocument/2006/relationships/hyperlink" Target="http://www.jusbrasil.com.br/legislacao/anotada/9124118/art-1-da-lei-1751-93-foz-do-iguac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2018-08-30T18:42:00Z</dcterms:created>
  <dcterms:modified xsi:type="dcterms:W3CDTF">2018-08-30T18:42:00Z</dcterms:modified>
</cp:coreProperties>
</file>