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5F5" w:rsidRDefault="008105F5" w:rsidP="008105F5">
      <w:pPr>
        <w:keepNext/>
        <w:jc w:val="center"/>
        <w:rPr>
          <w:b/>
          <w:i/>
          <w:sz w:val="24"/>
          <w:szCs w:val="24"/>
        </w:rPr>
      </w:pPr>
      <w:r>
        <w:rPr>
          <w:b/>
          <w:i/>
          <w:sz w:val="24"/>
          <w:szCs w:val="24"/>
        </w:rPr>
        <w:t>LEI Nº 4547, DE 25 DE NOVEMBRO DE 2011.</w:t>
      </w:r>
    </w:p>
    <w:p w:rsidR="008105F5" w:rsidRDefault="008105F5" w:rsidP="008105F5">
      <w:pPr>
        <w:jc w:val="both"/>
        <w:rPr>
          <w:b/>
          <w:sz w:val="24"/>
          <w:szCs w:val="24"/>
        </w:rPr>
      </w:pPr>
    </w:p>
    <w:p w:rsidR="008105F5" w:rsidRDefault="008105F5" w:rsidP="008105F5">
      <w:pPr>
        <w:ind w:left="4536"/>
        <w:jc w:val="both"/>
        <w:rPr>
          <w:sz w:val="24"/>
          <w:szCs w:val="24"/>
        </w:rPr>
      </w:pPr>
    </w:p>
    <w:p w:rsidR="008105F5" w:rsidRDefault="008105F5" w:rsidP="008105F5">
      <w:pPr>
        <w:ind w:left="4536"/>
        <w:jc w:val="both"/>
        <w:rPr>
          <w:sz w:val="24"/>
          <w:szCs w:val="24"/>
        </w:rPr>
      </w:pPr>
    </w:p>
    <w:p w:rsidR="008105F5" w:rsidRDefault="008105F5" w:rsidP="008105F5">
      <w:pPr>
        <w:ind w:left="4536"/>
        <w:jc w:val="both"/>
        <w:rPr>
          <w:sz w:val="24"/>
          <w:szCs w:val="24"/>
        </w:rPr>
      </w:pPr>
      <w:r>
        <w:rPr>
          <w:sz w:val="24"/>
          <w:szCs w:val="24"/>
        </w:rPr>
        <w:t>Altera redação do artigo 3º da Lei 4515/2011, que menciona e dá outras providências.</w:t>
      </w:r>
    </w:p>
    <w:p w:rsidR="008105F5" w:rsidRDefault="008105F5" w:rsidP="008105F5">
      <w:pPr>
        <w:pStyle w:val="Recuodecorpodetexto"/>
        <w:keepNext/>
        <w:ind w:left="0" w:firstLine="1418"/>
        <w:jc w:val="both"/>
        <w:rPr>
          <w:rFonts w:ascii="Times New Roman" w:hAnsi="Times New Roman" w:cs="Times New Roman"/>
          <w:szCs w:val="24"/>
        </w:rPr>
      </w:pPr>
    </w:p>
    <w:p w:rsidR="008105F5" w:rsidRDefault="008105F5" w:rsidP="008105F5">
      <w:pPr>
        <w:pStyle w:val="Recuodecorpodetexto"/>
        <w:keepNext/>
        <w:ind w:left="0" w:firstLine="1418"/>
        <w:jc w:val="both"/>
        <w:rPr>
          <w:rFonts w:ascii="Times New Roman" w:hAnsi="Times New Roman" w:cs="Times New Roman"/>
          <w:szCs w:val="24"/>
        </w:rPr>
      </w:pPr>
    </w:p>
    <w:p w:rsidR="008105F5" w:rsidRDefault="008105F5" w:rsidP="008105F5">
      <w:pPr>
        <w:pStyle w:val="Recuodecorpodetexto"/>
        <w:keepNext/>
        <w:ind w:left="0" w:firstLine="1418"/>
        <w:jc w:val="both"/>
        <w:rPr>
          <w:rFonts w:ascii="Times New Roman" w:hAnsi="Times New Roman" w:cs="Times New Roman"/>
          <w:szCs w:val="24"/>
        </w:rPr>
      </w:pPr>
    </w:p>
    <w:p w:rsidR="008105F5" w:rsidRDefault="008105F5" w:rsidP="008105F5">
      <w:pPr>
        <w:pStyle w:val="Recuodecorpodetexto"/>
        <w:keepNext/>
        <w:ind w:left="0" w:firstLine="1418"/>
        <w:jc w:val="both"/>
        <w:rPr>
          <w:rFonts w:ascii="Times New Roman" w:hAnsi="Times New Roman" w:cs="Times New Roman"/>
          <w:szCs w:val="24"/>
        </w:rPr>
      </w:pPr>
      <w:r>
        <w:rPr>
          <w:rFonts w:ascii="Times New Roman" w:hAnsi="Times New Roman" w:cs="Times New Roman"/>
          <w:szCs w:val="24"/>
        </w:rPr>
        <w:t>A CÂMARA MUNICIPAL DE FORMIGA APROVOU E EU SANCIONO A SEGUINTE LEI:</w:t>
      </w:r>
      <w:r>
        <w:rPr>
          <w:rFonts w:ascii="Times New Roman" w:hAnsi="Times New Roman" w:cs="Times New Roman"/>
          <w:szCs w:val="24"/>
        </w:rPr>
        <w:tab/>
      </w:r>
    </w:p>
    <w:p w:rsidR="008105F5" w:rsidRDefault="008105F5" w:rsidP="008105F5">
      <w:pPr>
        <w:jc w:val="both"/>
        <w:rPr>
          <w:sz w:val="24"/>
          <w:szCs w:val="24"/>
        </w:rPr>
      </w:pPr>
    </w:p>
    <w:p w:rsidR="008105F5" w:rsidRDefault="008105F5" w:rsidP="008105F5">
      <w:pPr>
        <w:jc w:val="both"/>
        <w:rPr>
          <w:sz w:val="24"/>
          <w:szCs w:val="24"/>
        </w:rPr>
      </w:pPr>
    </w:p>
    <w:p w:rsidR="008105F5" w:rsidRDefault="008105F5" w:rsidP="008105F5">
      <w:pPr>
        <w:ind w:firstLine="1418"/>
        <w:jc w:val="both"/>
        <w:rPr>
          <w:sz w:val="24"/>
          <w:szCs w:val="24"/>
        </w:rPr>
      </w:pPr>
      <w:r>
        <w:rPr>
          <w:b/>
          <w:sz w:val="24"/>
          <w:szCs w:val="24"/>
        </w:rPr>
        <w:t>Art. 1º</w:t>
      </w:r>
      <w:r>
        <w:rPr>
          <w:sz w:val="24"/>
          <w:szCs w:val="24"/>
        </w:rPr>
        <w:t xml:space="preserve"> O artigo 3º da Lei 4515/2011 passa a vigor com a seguinte redação:</w:t>
      </w:r>
    </w:p>
    <w:p w:rsidR="008105F5" w:rsidRDefault="008105F5" w:rsidP="008105F5">
      <w:pPr>
        <w:ind w:firstLine="1418"/>
        <w:jc w:val="both"/>
        <w:rPr>
          <w:sz w:val="24"/>
          <w:szCs w:val="24"/>
        </w:rPr>
      </w:pPr>
    </w:p>
    <w:p w:rsidR="008105F5" w:rsidRDefault="008105F5" w:rsidP="008105F5">
      <w:pPr>
        <w:ind w:firstLine="1418"/>
        <w:jc w:val="both"/>
        <w:rPr>
          <w:sz w:val="24"/>
          <w:szCs w:val="24"/>
        </w:rPr>
      </w:pPr>
    </w:p>
    <w:p w:rsidR="008105F5" w:rsidRDefault="008105F5" w:rsidP="008105F5">
      <w:pPr>
        <w:ind w:firstLine="1418"/>
        <w:jc w:val="both"/>
        <w:rPr>
          <w:i/>
          <w:sz w:val="24"/>
          <w:szCs w:val="24"/>
        </w:rPr>
      </w:pPr>
      <w:r>
        <w:rPr>
          <w:b/>
          <w:i/>
          <w:sz w:val="24"/>
          <w:szCs w:val="24"/>
        </w:rPr>
        <w:t>“Art. 3º</w:t>
      </w:r>
      <w:r>
        <w:rPr>
          <w:i/>
          <w:sz w:val="24"/>
          <w:szCs w:val="24"/>
        </w:rPr>
        <w:t xml:space="preserve"> Os estagiários para tal função deverão ser estudantes de graduação, regularmente matriculados nos cursos de Letras, Pedagogia, Normal Superior, Matemática, Química, Física, História, Ciências Biológicas, Biblioteconomia, Educação Física, Enfermagem, Fisioterapia, Nutrição, Engenharia Ambiental, Engenharia de Produção, Veterinária, Direito, Arquitetura, Engenharia Civil, Ciências </w:t>
      </w:r>
      <w:proofErr w:type="gramStart"/>
      <w:r>
        <w:rPr>
          <w:i/>
          <w:sz w:val="24"/>
          <w:szCs w:val="24"/>
        </w:rPr>
        <w:t>Contábeis.”</w:t>
      </w:r>
      <w:proofErr w:type="gramEnd"/>
    </w:p>
    <w:p w:rsidR="008105F5" w:rsidRDefault="008105F5" w:rsidP="008105F5">
      <w:pPr>
        <w:ind w:firstLine="1418"/>
        <w:jc w:val="both"/>
        <w:rPr>
          <w:sz w:val="24"/>
          <w:szCs w:val="24"/>
        </w:rPr>
      </w:pPr>
    </w:p>
    <w:p w:rsidR="008105F5" w:rsidRDefault="008105F5" w:rsidP="008105F5">
      <w:pPr>
        <w:ind w:firstLine="1418"/>
        <w:jc w:val="both"/>
        <w:rPr>
          <w:sz w:val="24"/>
          <w:szCs w:val="24"/>
        </w:rPr>
      </w:pPr>
      <w:r>
        <w:rPr>
          <w:b/>
          <w:sz w:val="24"/>
          <w:szCs w:val="24"/>
        </w:rPr>
        <w:t>Art. 2º</w:t>
      </w:r>
      <w:r>
        <w:rPr>
          <w:sz w:val="24"/>
          <w:szCs w:val="24"/>
        </w:rPr>
        <w:t xml:space="preserve"> Esta lei retroage os seus efeitos a 01 de abril de 2011.</w:t>
      </w:r>
    </w:p>
    <w:p w:rsidR="008105F5" w:rsidRDefault="008105F5" w:rsidP="008105F5">
      <w:pPr>
        <w:spacing w:before="280" w:after="280"/>
        <w:ind w:left="1068" w:firstLine="349"/>
        <w:jc w:val="both"/>
        <w:rPr>
          <w:sz w:val="24"/>
          <w:szCs w:val="24"/>
        </w:rPr>
      </w:pPr>
      <w:r>
        <w:rPr>
          <w:sz w:val="24"/>
          <w:szCs w:val="24"/>
        </w:rPr>
        <w:t>Gabinete do Prefeito em Formiga, 25 de novembro de 2011.</w:t>
      </w:r>
    </w:p>
    <w:p w:rsidR="008105F5" w:rsidRDefault="008105F5" w:rsidP="008105F5">
      <w:pPr>
        <w:keepNext/>
        <w:jc w:val="both"/>
        <w:rPr>
          <w:sz w:val="24"/>
          <w:szCs w:val="24"/>
        </w:rPr>
      </w:pPr>
    </w:p>
    <w:p w:rsidR="008105F5" w:rsidRDefault="008105F5" w:rsidP="008105F5">
      <w:pPr>
        <w:keepNext/>
        <w:jc w:val="both"/>
        <w:rPr>
          <w:sz w:val="24"/>
          <w:szCs w:val="24"/>
        </w:rPr>
      </w:pPr>
    </w:p>
    <w:p w:rsidR="008105F5" w:rsidRDefault="008105F5" w:rsidP="008105F5">
      <w:pPr>
        <w:keepNext/>
        <w:jc w:val="both"/>
        <w:rPr>
          <w:sz w:val="24"/>
          <w:szCs w:val="24"/>
        </w:rPr>
      </w:pPr>
    </w:p>
    <w:p w:rsidR="008105F5" w:rsidRDefault="008105F5" w:rsidP="008105F5">
      <w:pPr>
        <w:keepNext/>
        <w:jc w:val="both"/>
        <w:rPr>
          <w:sz w:val="24"/>
          <w:szCs w:val="24"/>
        </w:rPr>
      </w:pPr>
    </w:p>
    <w:tbl>
      <w:tblPr>
        <w:tblW w:w="0" w:type="auto"/>
        <w:tblLayout w:type="fixed"/>
        <w:tblLook w:val="0000" w:firstRow="0" w:lastRow="0" w:firstColumn="0" w:lastColumn="0" w:noHBand="0" w:noVBand="0"/>
      </w:tblPr>
      <w:tblGrid>
        <w:gridCol w:w="4802"/>
        <w:gridCol w:w="4802"/>
      </w:tblGrid>
      <w:tr w:rsidR="008105F5" w:rsidTr="00E65204">
        <w:trPr>
          <w:trHeight w:val="1084"/>
        </w:trPr>
        <w:tc>
          <w:tcPr>
            <w:tcW w:w="4802" w:type="dxa"/>
            <w:shd w:val="clear" w:color="auto" w:fill="auto"/>
          </w:tcPr>
          <w:p w:rsidR="008105F5" w:rsidRDefault="008105F5" w:rsidP="00E65204">
            <w:pPr>
              <w:snapToGrid w:val="0"/>
              <w:jc w:val="center"/>
              <w:rPr>
                <w:b/>
                <w:i/>
                <w:sz w:val="24"/>
                <w:szCs w:val="24"/>
              </w:rPr>
            </w:pPr>
            <w:r>
              <w:rPr>
                <w:b/>
                <w:i/>
                <w:sz w:val="24"/>
                <w:szCs w:val="24"/>
              </w:rPr>
              <w:t>ALUÍSIO VELOSO DA CUNHA</w:t>
            </w:r>
          </w:p>
          <w:p w:rsidR="008105F5" w:rsidRDefault="008105F5" w:rsidP="00E65204">
            <w:pPr>
              <w:jc w:val="center"/>
              <w:rPr>
                <w:sz w:val="24"/>
                <w:szCs w:val="24"/>
              </w:rPr>
            </w:pPr>
            <w:r>
              <w:rPr>
                <w:sz w:val="24"/>
                <w:szCs w:val="24"/>
              </w:rPr>
              <w:t>Prefeito Municipal</w:t>
            </w:r>
          </w:p>
        </w:tc>
        <w:tc>
          <w:tcPr>
            <w:tcW w:w="4802" w:type="dxa"/>
            <w:shd w:val="clear" w:color="auto" w:fill="auto"/>
          </w:tcPr>
          <w:p w:rsidR="008105F5" w:rsidRDefault="008105F5" w:rsidP="00E65204">
            <w:pPr>
              <w:snapToGrid w:val="0"/>
              <w:jc w:val="center"/>
              <w:rPr>
                <w:b/>
                <w:i/>
                <w:sz w:val="24"/>
                <w:szCs w:val="24"/>
              </w:rPr>
            </w:pPr>
            <w:r>
              <w:rPr>
                <w:b/>
                <w:i/>
                <w:sz w:val="24"/>
                <w:szCs w:val="24"/>
              </w:rPr>
              <w:t>SHELDON GERALDO DE ALMEIDA</w:t>
            </w:r>
          </w:p>
          <w:p w:rsidR="008105F5" w:rsidRDefault="008105F5" w:rsidP="00E65204">
            <w:pPr>
              <w:jc w:val="center"/>
              <w:rPr>
                <w:sz w:val="24"/>
                <w:szCs w:val="24"/>
              </w:rPr>
            </w:pPr>
            <w:r>
              <w:rPr>
                <w:sz w:val="24"/>
                <w:szCs w:val="24"/>
              </w:rPr>
              <w:t>Chefe de Gabinete</w:t>
            </w:r>
          </w:p>
        </w:tc>
      </w:tr>
    </w:tbl>
    <w:p w:rsidR="008105F5" w:rsidRDefault="008105F5" w:rsidP="008105F5">
      <w:pPr>
        <w:keepNext/>
        <w:jc w:val="both"/>
      </w:pPr>
    </w:p>
    <w:p w:rsidR="008105F5" w:rsidRDefault="008105F5" w:rsidP="008105F5">
      <w:pPr>
        <w:jc w:val="both"/>
      </w:pPr>
    </w:p>
    <w:p w:rsidR="008105F5" w:rsidRDefault="008105F5" w:rsidP="008105F5">
      <w:pPr>
        <w:jc w:val="center"/>
        <w:rPr>
          <w:sz w:val="24"/>
          <w:szCs w:val="24"/>
        </w:rPr>
      </w:pPr>
    </w:p>
    <w:p w:rsidR="0030374B" w:rsidRDefault="008105F5">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5F5"/>
    <w:rsid w:val="000A2C50"/>
    <w:rsid w:val="00147E9B"/>
    <w:rsid w:val="004662F0"/>
    <w:rsid w:val="005B4ECA"/>
    <w:rsid w:val="0070535B"/>
    <w:rsid w:val="00757829"/>
    <w:rsid w:val="008105F5"/>
    <w:rsid w:val="009E5F9A"/>
    <w:rsid w:val="00D07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9DE97-FAB7-4F2A-B8D8-17BA41C0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5F5"/>
    <w:pPr>
      <w:suppressAutoHyphens/>
      <w:spacing w:after="0" w:line="240" w:lineRule="auto"/>
    </w:pPr>
    <w:rPr>
      <w:rFonts w:ascii="Times New Roman" w:eastAsia="SimSu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8105F5"/>
    <w:pPr>
      <w:ind w:left="360"/>
    </w:pPr>
    <w:rPr>
      <w:rFonts w:ascii="Arial" w:hAnsi="Arial" w:cs="Arial"/>
      <w:bCs/>
      <w:sz w:val="24"/>
    </w:rPr>
  </w:style>
  <w:style w:type="character" w:customStyle="1" w:styleId="RecuodecorpodetextoChar">
    <w:name w:val="Recuo de corpo de texto Char"/>
    <w:basedOn w:val="Fontepargpadro"/>
    <w:link w:val="Recuodecorpodetexto"/>
    <w:rsid w:val="008105F5"/>
    <w:rPr>
      <w:rFonts w:ascii="Arial" w:eastAsia="SimSun" w:hAnsi="Arial" w:cs="Arial"/>
      <w:bCs/>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762</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2018-08-30T18:57:00Z</dcterms:created>
  <dcterms:modified xsi:type="dcterms:W3CDTF">2018-08-30T18:57:00Z</dcterms:modified>
</cp:coreProperties>
</file>