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9" w:rsidRDefault="00BB70F9" w:rsidP="00BB70F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4648,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BB70F9" w:rsidRDefault="00BB70F9" w:rsidP="00BB70F9">
      <w:pPr>
        <w:spacing w:line="280" w:lineRule="auto"/>
        <w:rPr>
          <w:b/>
          <w:color w:val="000000"/>
          <w:sz w:val="24"/>
          <w:szCs w:val="24"/>
        </w:rPr>
      </w:pPr>
    </w:p>
    <w:p w:rsidR="00BB70F9" w:rsidRDefault="00BB70F9" w:rsidP="00BB70F9">
      <w:pPr>
        <w:spacing w:line="280" w:lineRule="auto"/>
        <w:rPr>
          <w:b/>
          <w:color w:val="000000"/>
          <w:sz w:val="24"/>
          <w:szCs w:val="24"/>
        </w:rPr>
      </w:pPr>
    </w:p>
    <w:p w:rsidR="00BB70F9" w:rsidRDefault="00BB70F9" w:rsidP="00BB70F9">
      <w:pPr>
        <w:spacing w:line="280" w:lineRule="auto"/>
        <w:rPr>
          <w:b/>
          <w:color w:val="000000"/>
          <w:sz w:val="24"/>
          <w:szCs w:val="24"/>
        </w:rPr>
      </w:pPr>
    </w:p>
    <w:p w:rsidR="00BB70F9" w:rsidRDefault="00BB70F9" w:rsidP="00BB70F9">
      <w:pPr>
        <w:ind w:left="5245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Dá nova redação à Lei nº 4.172, de 31 de março de 2009, que reestrutura</w:t>
      </w:r>
      <w:r>
        <w:rPr>
          <w:sz w:val="24"/>
          <w:szCs w:val="24"/>
        </w:rPr>
        <w:t xml:space="preserve"> o Regime Próprio de Previdência Social dos Servidores Públicos do Município de Formiga-MG </w:t>
      </w:r>
      <w:r>
        <w:rPr>
          <w:bCs/>
          <w:iCs/>
          <w:color w:val="000000"/>
          <w:sz w:val="24"/>
          <w:szCs w:val="24"/>
        </w:rPr>
        <w:t>e dá outras providências.</w:t>
      </w:r>
    </w:p>
    <w:p w:rsidR="00BB70F9" w:rsidRDefault="00BB70F9" w:rsidP="00BB70F9">
      <w:pPr>
        <w:ind w:firstLine="1418"/>
        <w:jc w:val="both"/>
        <w:rPr>
          <w:color w:val="000000"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color w:val="000000"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color w:val="000000"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EU SANCIONO A SEGUINTE LEI:</w:t>
      </w:r>
    </w:p>
    <w:p w:rsidR="00BB70F9" w:rsidRDefault="00BB70F9" w:rsidP="00BB70F9">
      <w:pPr>
        <w:ind w:firstLine="1418"/>
        <w:jc w:val="both"/>
        <w:rPr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color w:val="000000"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bCs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O artigo 2º, o inciso I do art. 100 e o inciso II do art. 118 </w:t>
      </w:r>
      <w:r>
        <w:rPr>
          <w:bCs/>
          <w:iCs/>
          <w:color w:val="000000"/>
          <w:sz w:val="24"/>
          <w:szCs w:val="24"/>
        </w:rPr>
        <w:t>da Lei nº 4172, de 31 de março de 2009 passam a vigorar com a seguinte redação:</w:t>
      </w:r>
    </w:p>
    <w:p w:rsidR="00BB70F9" w:rsidRDefault="00BB70F9" w:rsidP="00BB70F9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BB70F9" w:rsidRDefault="00BB70F9" w:rsidP="00BB70F9">
      <w:pPr>
        <w:shd w:val="clear" w:color="auto" w:fill="FFFFFF"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2º </w:t>
      </w:r>
      <w:r>
        <w:rPr>
          <w:i/>
          <w:sz w:val="24"/>
          <w:szCs w:val="24"/>
        </w:rPr>
        <w:t xml:space="preserve">O Instituto de Previdência Social do Município de Formiga/MG - PREVIFOR, passa a denominar </w:t>
      </w:r>
      <w:r>
        <w:rPr>
          <w:i/>
          <w:color w:val="000000"/>
          <w:sz w:val="24"/>
          <w:szCs w:val="24"/>
        </w:rPr>
        <w:t>Instituto de Previdência dos Servidores Públicos Municipais de Formiga – PREVIFOR,</w:t>
      </w:r>
      <w:r>
        <w:rPr>
          <w:i/>
          <w:sz w:val="24"/>
          <w:szCs w:val="24"/>
        </w:rPr>
        <w:t xml:space="preserve"> com sede na </w:t>
      </w:r>
      <w:r>
        <w:rPr>
          <w:i/>
          <w:color w:val="000000"/>
          <w:sz w:val="24"/>
          <w:szCs w:val="24"/>
        </w:rPr>
        <w:t xml:space="preserve">Praça Olegário Maciel, 42 – Centro – Formiga – 35570-000 </w:t>
      </w:r>
      <w:r>
        <w:rPr>
          <w:i/>
          <w:sz w:val="24"/>
          <w:szCs w:val="24"/>
        </w:rPr>
        <w:t>e, em consonância com o art. 71 da Lei nº 4.320, de 17 de março de 1964, reestruturado pela Lei 4172/2009, garante o plano de benefício do regime, observado os seguintes critérios: [...]</w:t>
      </w:r>
    </w:p>
    <w:p w:rsidR="00BB70F9" w:rsidRDefault="00BB70F9" w:rsidP="00BB70F9">
      <w:pPr>
        <w:ind w:left="708"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Art. 100. </w:t>
      </w:r>
      <w:r>
        <w:rPr>
          <w:i/>
          <w:sz w:val="24"/>
          <w:szCs w:val="24"/>
        </w:rPr>
        <w:t xml:space="preserve">[...] </w:t>
      </w:r>
      <w:r>
        <w:rPr>
          <w:b/>
          <w:i/>
          <w:sz w:val="24"/>
          <w:szCs w:val="24"/>
        </w:rPr>
        <w:t xml:space="preserve">I – </w:t>
      </w:r>
      <w:r>
        <w:rPr>
          <w:i/>
          <w:sz w:val="24"/>
          <w:szCs w:val="24"/>
        </w:rPr>
        <w:t>Para o segurado ativo, 11% (onze por cento) da remuneração de contribuição mensal do cargo efetivo.</w:t>
      </w:r>
    </w:p>
    <w:p w:rsidR="00BB70F9" w:rsidRDefault="00BB70F9" w:rsidP="00BB70F9">
      <w:pPr>
        <w:ind w:left="708"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Art. 118. 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709" w:firstLine="1418"/>
        <w:jc w:val="both"/>
        <w:rPr>
          <w:b/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color w:val="000000"/>
          <w:szCs w:val="24"/>
        </w:rPr>
      </w:pPr>
      <w:r>
        <w:rPr>
          <w:i/>
          <w:szCs w:val="24"/>
        </w:rPr>
        <w:t xml:space="preserve">II - </w:t>
      </w:r>
      <w:r>
        <w:rPr>
          <w:i/>
          <w:color w:val="000000"/>
          <w:szCs w:val="24"/>
        </w:rPr>
        <w:t>1 (um) Tesoureiro, escolhido e nomeado pelo Superintendente Executivo do PREVIFOR dentre os servidores ocupantes do cargo efetivo de assistente previdenciário, de caráter ilibado e detentor de conhecimento técnico na área financeira e contábil, mediante aprovação do Conselho Administrativo e Fiscal.”</w:t>
      </w:r>
    </w:p>
    <w:p w:rsidR="00BB70F9" w:rsidRDefault="00BB70F9" w:rsidP="00BB70F9">
      <w:pPr>
        <w:ind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bCs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2º </w:t>
      </w:r>
      <w:r>
        <w:rPr>
          <w:color w:val="000000"/>
          <w:sz w:val="24"/>
          <w:szCs w:val="24"/>
        </w:rPr>
        <w:t xml:space="preserve">Fica acrescido o inciso V e os §§ 3º e 4º ao art. 106, o art. 113-A, o art. 113-B e os §§ 2º e 3º ao art. 118 </w:t>
      </w:r>
      <w:r>
        <w:rPr>
          <w:bCs/>
          <w:iCs/>
          <w:color w:val="000000"/>
          <w:sz w:val="24"/>
          <w:szCs w:val="24"/>
        </w:rPr>
        <w:t>da Lei nº 4172, de 31 de março de 2009:</w:t>
      </w:r>
    </w:p>
    <w:p w:rsidR="00BB70F9" w:rsidRDefault="00BB70F9" w:rsidP="00BB70F9">
      <w:pPr>
        <w:ind w:firstLine="1418"/>
        <w:jc w:val="both"/>
        <w:rPr>
          <w:bCs/>
          <w:iCs/>
          <w:color w:val="000000"/>
          <w:sz w:val="24"/>
          <w:szCs w:val="24"/>
        </w:rPr>
      </w:pPr>
    </w:p>
    <w:p w:rsidR="00BB70F9" w:rsidRDefault="00BB70F9" w:rsidP="00BB70F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</w:p>
    <w:p w:rsidR="00BB70F9" w:rsidRDefault="00BB70F9" w:rsidP="00BB70F9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Art. 106. </w:t>
      </w:r>
      <w:r>
        <w:rPr>
          <w:i/>
          <w:sz w:val="24"/>
          <w:szCs w:val="24"/>
        </w:rPr>
        <w:t xml:space="preserve">[...] </w:t>
      </w:r>
    </w:p>
    <w:p w:rsidR="00BB70F9" w:rsidRDefault="00BB70F9" w:rsidP="00BB70F9">
      <w:pPr>
        <w:jc w:val="both"/>
        <w:rPr>
          <w:b/>
          <w:i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 – </w:t>
      </w:r>
      <w:r>
        <w:rPr>
          <w:i/>
          <w:sz w:val="24"/>
          <w:szCs w:val="24"/>
        </w:rPr>
        <w:t>Unidades de controle e assessoramento:</w:t>
      </w:r>
    </w:p>
    <w:p w:rsidR="00BB70F9" w:rsidRDefault="00BB70F9" w:rsidP="00BB70F9">
      <w:pPr>
        <w:ind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numPr>
          <w:ilvl w:val="0"/>
          <w:numId w:val="1"/>
        </w:numPr>
        <w:suppressAutoHyphens w:val="0"/>
        <w:ind w:left="0"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Controle interno;</w:t>
      </w:r>
    </w:p>
    <w:p w:rsidR="00BB70F9" w:rsidRDefault="00BB70F9" w:rsidP="00BB70F9">
      <w:pPr>
        <w:numPr>
          <w:ilvl w:val="0"/>
          <w:numId w:val="1"/>
        </w:numPr>
        <w:suppressAutoHyphens w:val="0"/>
        <w:ind w:left="0"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Assessoria Jurídica.</w:t>
      </w:r>
    </w:p>
    <w:p w:rsidR="00BB70F9" w:rsidRDefault="00BB70F9" w:rsidP="00BB70F9">
      <w:pPr>
        <w:ind w:left="708" w:firstLine="1418"/>
        <w:jc w:val="both"/>
        <w:rPr>
          <w:b/>
          <w:i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§3º </w:t>
      </w:r>
      <w:r>
        <w:rPr>
          <w:i/>
          <w:sz w:val="24"/>
          <w:szCs w:val="24"/>
        </w:rPr>
        <w:t>Não são remunerados os membros do Conselho Administrativo e Fiscal, fazendo jus apenas a um jeton mensal para reembolso de despesas de participação na reunião ordinária ou extraordinária no valor de R$ 150,00 (cento e cinquenta reais), pagos no quinto dia útil do mês subseqüente.</w:t>
      </w:r>
    </w:p>
    <w:p w:rsidR="00BB70F9" w:rsidRDefault="00BB70F9" w:rsidP="00BB70F9">
      <w:pPr>
        <w:ind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§ 4º.</w:t>
      </w:r>
      <w:r>
        <w:rPr>
          <w:i/>
          <w:sz w:val="24"/>
          <w:szCs w:val="24"/>
        </w:rPr>
        <w:t xml:space="preserve"> O valor do jeton de que trata o parágrafo anterior será atualizado anualmente pelo Índice Nacional de Preços ao Consumidor – INPC, calculado pela Fundação Instituto Brasileiro de Geografia e Estatística – IBGE.</w:t>
      </w:r>
    </w:p>
    <w:p w:rsidR="00BB70F9" w:rsidRDefault="00BB70F9" w:rsidP="00BB70F9">
      <w:pPr>
        <w:ind w:left="709"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autoSpaceDE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Seção IV – Da Competência da Controladoria</w:t>
      </w:r>
    </w:p>
    <w:p w:rsidR="00BB70F9" w:rsidRDefault="00BB70F9" w:rsidP="00BB70F9">
      <w:pPr>
        <w:autoSpaceDE w:val="0"/>
        <w:ind w:left="709" w:firstLine="1418"/>
        <w:jc w:val="both"/>
        <w:rPr>
          <w:b/>
          <w:i/>
          <w:sz w:val="24"/>
          <w:szCs w:val="24"/>
        </w:rPr>
      </w:pPr>
    </w:p>
    <w:p w:rsidR="00BB70F9" w:rsidRDefault="00BB70F9" w:rsidP="00BB70F9">
      <w:pPr>
        <w:autoSpaceDE w:val="0"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Art. 113-A </w:t>
      </w:r>
      <w:r>
        <w:rPr>
          <w:i/>
          <w:sz w:val="24"/>
          <w:szCs w:val="24"/>
        </w:rPr>
        <w:t>Compete à Controladoria:</w:t>
      </w:r>
    </w:p>
    <w:p w:rsidR="00BB70F9" w:rsidRDefault="00BB70F9" w:rsidP="00BB70F9">
      <w:pPr>
        <w:autoSpaceDE w:val="0"/>
        <w:ind w:left="709"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I – A Controladoria é o principal mecanismo interno de governança pública e deverá orientar, acompanhar, fiscalizar e avaliar a gestão Orçamentária, Financeira e Patrimonial do PREVIFOR, tendo em vista o controle, economicidade e racionalidade na utilização dos recursos e bens públicos, apresentando ao Superintendente Executivo estudos e propostas para este fim;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709" w:firstLine="1418"/>
        <w:jc w:val="both"/>
        <w:rPr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II - indicar, sempre em caráter opinativo, preventivo ou corretivo, ações a serem desempenhadas com vistas ao atendimento da legislação;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0"/>
        <w:jc w:val="both"/>
        <w:rPr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III - assessorar a elaboração da proposta orçamentária do Instituto;</w:t>
      </w:r>
    </w:p>
    <w:p w:rsidR="00BB70F9" w:rsidRDefault="00BB70F9" w:rsidP="00BB70F9">
      <w:pPr>
        <w:pStyle w:val="TxBrp6"/>
        <w:tabs>
          <w:tab w:val="clear" w:pos="289"/>
          <w:tab w:val="clear" w:pos="1213"/>
        </w:tabs>
        <w:spacing w:line="240" w:lineRule="auto"/>
        <w:ind w:left="0" w:firstLine="1418"/>
        <w:rPr>
          <w:i/>
          <w:szCs w:val="24"/>
        </w:rPr>
      </w:pPr>
    </w:p>
    <w:p w:rsidR="00BB70F9" w:rsidRDefault="00BB70F9" w:rsidP="00BB70F9">
      <w:pPr>
        <w:pStyle w:val="TxBrp6"/>
        <w:tabs>
          <w:tab w:val="clear" w:pos="289"/>
          <w:tab w:val="clear" w:pos="1213"/>
        </w:tabs>
        <w:spacing w:line="240" w:lineRule="auto"/>
        <w:ind w:left="0" w:firstLine="1418"/>
        <w:rPr>
          <w:i/>
          <w:szCs w:val="24"/>
        </w:rPr>
      </w:pPr>
      <w:r>
        <w:rPr>
          <w:i/>
          <w:szCs w:val="24"/>
        </w:rPr>
        <w:t xml:space="preserve">IV - tomar as contas dos gestores responsáveis por bens e valores, ao final de sua gestão, quando não prestadas voluntariamente; </w:t>
      </w:r>
    </w:p>
    <w:p w:rsidR="00BB70F9" w:rsidRDefault="00BB70F9" w:rsidP="00BB70F9">
      <w:pPr>
        <w:pStyle w:val="TxBrp7"/>
        <w:spacing w:line="240" w:lineRule="auto"/>
        <w:ind w:firstLine="1418"/>
        <w:jc w:val="both"/>
        <w:rPr>
          <w:i/>
          <w:szCs w:val="24"/>
        </w:rPr>
      </w:pPr>
    </w:p>
    <w:p w:rsidR="00BB70F9" w:rsidRDefault="00BB70F9" w:rsidP="00BB70F9">
      <w:pPr>
        <w:pStyle w:val="TxBrp7"/>
        <w:spacing w:line="240" w:lineRule="auto"/>
        <w:ind w:firstLine="1418"/>
        <w:jc w:val="both"/>
        <w:rPr>
          <w:i/>
          <w:szCs w:val="24"/>
        </w:rPr>
      </w:pPr>
      <w:r>
        <w:rPr>
          <w:i/>
          <w:szCs w:val="24"/>
        </w:rPr>
        <w:t>V - subsidiar os responsáveis pela elaboração de planos, orçamentos e programação financeira, com informações e avaliações relativas à gestão das unidades do Instituto;</w:t>
      </w:r>
    </w:p>
    <w:p w:rsidR="00BB70F9" w:rsidRDefault="00BB70F9" w:rsidP="00BB70F9">
      <w:pPr>
        <w:pStyle w:val="TxBrp4"/>
        <w:tabs>
          <w:tab w:val="clear" w:pos="2018"/>
          <w:tab w:val="clear" w:pos="4524"/>
        </w:tabs>
        <w:spacing w:line="240" w:lineRule="auto"/>
        <w:ind w:left="0" w:firstLine="1418"/>
        <w:jc w:val="both"/>
        <w:rPr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  <w:tab w:val="clear" w:pos="4524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VI - executar trabalhos de auditoria contábil, administrativa e operacional, junto às unidades do Instituto;</w:t>
      </w:r>
    </w:p>
    <w:p w:rsidR="00BB70F9" w:rsidRDefault="00BB70F9" w:rsidP="00BB70F9">
      <w:pPr>
        <w:pStyle w:val="TxBrp4"/>
        <w:tabs>
          <w:tab w:val="clear" w:pos="2018"/>
          <w:tab w:val="clear" w:pos="4524"/>
        </w:tabs>
        <w:spacing w:line="240" w:lineRule="auto"/>
        <w:ind w:left="0" w:firstLine="1418"/>
        <w:jc w:val="both"/>
        <w:rPr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  <w:tab w:val="clear" w:pos="4524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VII - acompanhar, orientar e fiscalizar os procedimentos licitatórios do Instituto;</w:t>
      </w:r>
    </w:p>
    <w:p w:rsidR="00BB70F9" w:rsidRDefault="00BB70F9" w:rsidP="00BB70F9">
      <w:pPr>
        <w:pStyle w:val="TxBrp11"/>
        <w:tabs>
          <w:tab w:val="clear" w:pos="204"/>
        </w:tabs>
        <w:spacing w:line="240" w:lineRule="auto"/>
        <w:ind w:firstLine="1418"/>
        <w:jc w:val="both"/>
        <w:rPr>
          <w:i/>
          <w:szCs w:val="24"/>
        </w:rPr>
      </w:pPr>
    </w:p>
    <w:p w:rsidR="00BB70F9" w:rsidRDefault="00BB70F9" w:rsidP="00BB70F9">
      <w:pPr>
        <w:pStyle w:val="TxBrp11"/>
        <w:tabs>
          <w:tab w:val="clear" w:pos="204"/>
        </w:tabs>
        <w:spacing w:line="240" w:lineRule="auto"/>
        <w:ind w:firstLine="1418"/>
        <w:jc w:val="both"/>
        <w:rPr>
          <w:i/>
          <w:szCs w:val="24"/>
        </w:rPr>
      </w:pPr>
      <w:r>
        <w:rPr>
          <w:i/>
          <w:szCs w:val="24"/>
        </w:rPr>
        <w:t>VIII - emitir relatório, por ocasião do encerramento do exercício, sobre as contas e balanço geral do Instituto, com ênfase nas Instruções Normativas do TCEMG;</w:t>
      </w:r>
    </w:p>
    <w:p w:rsidR="00BB70F9" w:rsidRDefault="00BB70F9" w:rsidP="00BB70F9">
      <w:pPr>
        <w:pStyle w:val="TxBrp12"/>
        <w:tabs>
          <w:tab w:val="clear" w:pos="204"/>
        </w:tabs>
        <w:spacing w:line="240" w:lineRule="auto"/>
        <w:ind w:firstLine="1418"/>
        <w:jc w:val="both"/>
        <w:rPr>
          <w:i/>
          <w:szCs w:val="24"/>
        </w:rPr>
      </w:pPr>
    </w:p>
    <w:p w:rsidR="00BB70F9" w:rsidRDefault="00BB70F9" w:rsidP="00BB70F9">
      <w:pPr>
        <w:pStyle w:val="TxBrp12"/>
        <w:tabs>
          <w:tab w:val="clear" w:pos="204"/>
        </w:tabs>
        <w:spacing w:line="240" w:lineRule="auto"/>
        <w:ind w:firstLine="1418"/>
        <w:jc w:val="both"/>
        <w:rPr>
          <w:i/>
          <w:szCs w:val="24"/>
        </w:rPr>
      </w:pPr>
      <w:r>
        <w:rPr>
          <w:i/>
          <w:szCs w:val="24"/>
        </w:rPr>
        <w:t>IX - acompanhar, orientar e fiscalizar os atos de admissão e desligamento de servidores.</w:t>
      </w:r>
    </w:p>
    <w:p w:rsidR="00BB70F9" w:rsidRDefault="00BB70F9" w:rsidP="00BB70F9">
      <w:pPr>
        <w:ind w:left="709" w:firstLine="1418"/>
        <w:jc w:val="both"/>
        <w:rPr>
          <w:b/>
          <w:color w:val="000000"/>
          <w:sz w:val="24"/>
          <w:szCs w:val="24"/>
        </w:rPr>
      </w:pPr>
    </w:p>
    <w:p w:rsidR="00BB70F9" w:rsidRDefault="00BB70F9" w:rsidP="00BB70F9">
      <w:pPr>
        <w:autoSpaceDE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Seção V – Da Competência da Assessoria Jurídica</w:t>
      </w:r>
    </w:p>
    <w:p w:rsidR="00BB70F9" w:rsidRDefault="00BB70F9" w:rsidP="00BB70F9">
      <w:pPr>
        <w:autoSpaceDE w:val="0"/>
        <w:ind w:left="709" w:firstLine="1418"/>
        <w:jc w:val="both"/>
        <w:rPr>
          <w:b/>
          <w:i/>
          <w:sz w:val="24"/>
          <w:szCs w:val="24"/>
        </w:rPr>
      </w:pPr>
    </w:p>
    <w:p w:rsidR="00BB70F9" w:rsidRDefault="00BB70F9" w:rsidP="00BB70F9">
      <w:pPr>
        <w:autoSpaceDE w:val="0"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Art. 113-B </w:t>
      </w:r>
      <w:r>
        <w:rPr>
          <w:i/>
          <w:sz w:val="24"/>
          <w:szCs w:val="24"/>
        </w:rPr>
        <w:t>Compete à Assessoria Jurídica:</w:t>
      </w:r>
    </w:p>
    <w:p w:rsidR="00BB70F9" w:rsidRDefault="00BB70F9" w:rsidP="00BB70F9">
      <w:pPr>
        <w:autoSpaceDE w:val="0"/>
        <w:ind w:left="709"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tabs>
          <w:tab w:val="left" w:pos="1276"/>
        </w:tabs>
        <w:autoSpaceDE w:val="0"/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- assessorar o Superintendente Executivo em assuntos administrativos;</w:t>
      </w:r>
    </w:p>
    <w:p w:rsidR="00BB70F9" w:rsidRDefault="00BB70F9" w:rsidP="00BB70F9">
      <w:pPr>
        <w:tabs>
          <w:tab w:val="left" w:pos="1276"/>
        </w:tabs>
        <w:autoSpaceDE w:val="0"/>
        <w:ind w:left="709"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tabs>
          <w:tab w:val="left" w:pos="1276"/>
        </w:tabs>
        <w:autoSpaceDE w:val="0"/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II - examinar e elaborar convênios, contratos, acordos, ajustes e editais;</w:t>
      </w:r>
    </w:p>
    <w:p w:rsidR="00BB70F9" w:rsidRDefault="00BB70F9" w:rsidP="00BB70F9">
      <w:pPr>
        <w:tabs>
          <w:tab w:val="left" w:pos="1276"/>
        </w:tabs>
        <w:autoSpaceDE w:val="0"/>
        <w:ind w:left="709"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tabs>
          <w:tab w:val="left" w:pos="1276"/>
        </w:tabs>
        <w:autoSpaceDE w:val="0"/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III - emitir parecer em consultas</w:t>
      </w:r>
      <w:r>
        <w:rPr>
          <w:i/>
          <w:color w:val="FF99CC"/>
          <w:sz w:val="24"/>
          <w:szCs w:val="24"/>
        </w:rPr>
        <w:t xml:space="preserve"> </w:t>
      </w:r>
      <w:r>
        <w:rPr>
          <w:i/>
          <w:sz w:val="24"/>
          <w:szCs w:val="24"/>
        </w:rPr>
        <w:t>sobre temas afetas aos interesses do PREVIFOR como subsídio ao desenvolvimento dos trabalhos da Administração do mesmo;</w:t>
      </w:r>
    </w:p>
    <w:p w:rsidR="00BB70F9" w:rsidRDefault="00BB70F9" w:rsidP="00BB70F9">
      <w:pPr>
        <w:tabs>
          <w:tab w:val="left" w:pos="1276"/>
        </w:tabs>
        <w:autoSpaceDE w:val="0"/>
        <w:ind w:left="709"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tabs>
          <w:tab w:val="left" w:pos="1276"/>
        </w:tabs>
        <w:autoSpaceDE w:val="0"/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IV - examinar os aspectos jurídicos e dar parecer sobre convênios, contratos, acordos e ajustes em que o PREVIFOR for parte;</w:t>
      </w:r>
    </w:p>
    <w:p w:rsidR="00BB70F9" w:rsidRDefault="00BB70F9" w:rsidP="00BB70F9">
      <w:pPr>
        <w:tabs>
          <w:tab w:val="left" w:pos="1276"/>
        </w:tabs>
        <w:autoSpaceDE w:val="0"/>
        <w:ind w:left="709" w:firstLine="1418"/>
        <w:jc w:val="both"/>
        <w:rPr>
          <w:i/>
          <w:sz w:val="24"/>
          <w:szCs w:val="24"/>
        </w:rPr>
      </w:pPr>
    </w:p>
    <w:p w:rsidR="00BB70F9" w:rsidRDefault="00BB70F9" w:rsidP="00BB70F9">
      <w:pPr>
        <w:pStyle w:val="Corpodetexto"/>
        <w:tabs>
          <w:tab w:val="left" w:pos="1276"/>
        </w:tabs>
        <w:ind w:firstLine="1418"/>
        <w:rPr>
          <w:i/>
          <w:sz w:val="24"/>
          <w:szCs w:val="24"/>
        </w:rPr>
      </w:pPr>
      <w:r>
        <w:rPr>
          <w:i/>
          <w:sz w:val="24"/>
          <w:szCs w:val="24"/>
        </w:rPr>
        <w:t>V - prestar assessoramento jurídico às unidades do PREVIFOR, orientando sobre a aplicação de dispositivos legais e regulamentares;</w:t>
      </w:r>
    </w:p>
    <w:p w:rsidR="00BB70F9" w:rsidRDefault="00BB70F9" w:rsidP="00BB70F9">
      <w:pPr>
        <w:pStyle w:val="Corpodetexto"/>
        <w:tabs>
          <w:tab w:val="left" w:pos="1276"/>
        </w:tabs>
        <w:ind w:left="709" w:firstLine="1418"/>
        <w:rPr>
          <w:i/>
          <w:sz w:val="24"/>
          <w:szCs w:val="24"/>
        </w:rPr>
      </w:pPr>
    </w:p>
    <w:p w:rsidR="00BB70F9" w:rsidRDefault="00BB70F9" w:rsidP="00BB70F9">
      <w:pPr>
        <w:pStyle w:val="Corpodetexto"/>
        <w:tabs>
          <w:tab w:val="left" w:pos="709"/>
          <w:tab w:val="left" w:pos="1276"/>
          <w:tab w:val="left" w:pos="1418"/>
        </w:tabs>
        <w:ind w:firstLine="1418"/>
        <w:rPr>
          <w:i/>
          <w:sz w:val="24"/>
          <w:szCs w:val="24"/>
        </w:rPr>
      </w:pPr>
      <w:r>
        <w:rPr>
          <w:i/>
          <w:sz w:val="24"/>
          <w:szCs w:val="24"/>
        </w:rPr>
        <w:t>VI - criar arquivo de jurisprudências, doutrinas e legislações, separadas por matéria de Direito, e mantê-los atualizados;</w:t>
      </w:r>
    </w:p>
    <w:p w:rsidR="00BB70F9" w:rsidRDefault="00BB70F9" w:rsidP="00BB70F9">
      <w:pPr>
        <w:pStyle w:val="Corpodetexto"/>
        <w:tabs>
          <w:tab w:val="left" w:pos="709"/>
          <w:tab w:val="left" w:pos="1276"/>
          <w:tab w:val="left" w:pos="1418"/>
        </w:tabs>
        <w:ind w:left="709" w:firstLine="1418"/>
        <w:rPr>
          <w:i/>
          <w:sz w:val="24"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VII - acompanhar processos judiciais, em todas as instâncias e em todas as esferas, onde o PREVIFOR é réu, autor ou mesmo litisconsorte (defesas, audiências, recursos e outros);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709" w:firstLine="1418"/>
        <w:jc w:val="both"/>
        <w:rPr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VIII - acompanhar processos administrativos externos, Tribunal de Contas e Ministério Público, onde o PREVIFOR é réu ou autor (defesas, audiências, recursos e outros);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709" w:firstLine="1418"/>
        <w:jc w:val="both"/>
        <w:rPr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IX - acompanhar processos administrativos internos, referentes ao setor pessoal, como comissões e apurações administrativas relacionadas;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X - acompanhar processos administrativos internos, referente às licitações.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Art. 118 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b/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i/>
          <w:szCs w:val="24"/>
        </w:rPr>
        <w:t>[...]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b/>
          <w:i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szCs w:val="24"/>
        </w:rPr>
      </w:pPr>
      <w:r>
        <w:rPr>
          <w:b/>
          <w:i/>
          <w:szCs w:val="24"/>
        </w:rPr>
        <w:t xml:space="preserve">§ 2º </w:t>
      </w:r>
      <w:r>
        <w:rPr>
          <w:i/>
          <w:szCs w:val="24"/>
        </w:rPr>
        <w:t>O servidor público que for nomeado para exercer o cargo de Tesoureiro do PREVIFOR, receberá do Instituto uma gratificação mensal de 30% (trinta por cento) sobre o vencimento do cargo efetivo em que o mesmo ocupa.</w:t>
      </w: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color w:val="000000"/>
          <w:szCs w:val="24"/>
        </w:rPr>
      </w:pPr>
    </w:p>
    <w:p w:rsidR="00BB70F9" w:rsidRDefault="00BB70F9" w:rsidP="00BB70F9">
      <w:pPr>
        <w:pStyle w:val="TxBrp4"/>
        <w:tabs>
          <w:tab w:val="clear" w:pos="2018"/>
        </w:tabs>
        <w:spacing w:line="240" w:lineRule="auto"/>
        <w:ind w:left="0" w:firstLine="1418"/>
        <w:jc w:val="both"/>
        <w:rPr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§ 3º </w:t>
      </w:r>
      <w:r>
        <w:rPr>
          <w:i/>
          <w:color w:val="000000"/>
          <w:szCs w:val="24"/>
        </w:rPr>
        <w:t>A nomeação do ocupante do cargo de Tesoureiro continuará em vigor até o dia 31.12.2012.”</w:t>
      </w:r>
    </w:p>
    <w:p w:rsidR="00BB70F9" w:rsidRDefault="00BB70F9" w:rsidP="00BB70F9">
      <w:pPr>
        <w:ind w:firstLine="1418"/>
        <w:jc w:val="both"/>
        <w:rPr>
          <w:b/>
          <w:color w:val="000000"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bCs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3º </w:t>
      </w:r>
      <w:r>
        <w:rPr>
          <w:color w:val="000000"/>
          <w:sz w:val="24"/>
          <w:szCs w:val="24"/>
        </w:rPr>
        <w:t xml:space="preserve">Ficam revogados o § 2º do art. 3º, o § 3º do art. 9º e o art. 121 </w:t>
      </w:r>
      <w:r>
        <w:rPr>
          <w:i/>
          <w:color w:val="000000"/>
          <w:sz w:val="24"/>
          <w:szCs w:val="24"/>
        </w:rPr>
        <w:t>caput</w:t>
      </w:r>
      <w:r>
        <w:rPr>
          <w:color w:val="000000"/>
          <w:sz w:val="24"/>
          <w:szCs w:val="24"/>
        </w:rPr>
        <w:t xml:space="preserve"> e Parágrafo Único, </w:t>
      </w:r>
      <w:r>
        <w:rPr>
          <w:bCs/>
          <w:iCs/>
          <w:color w:val="000000"/>
          <w:sz w:val="24"/>
          <w:szCs w:val="24"/>
        </w:rPr>
        <w:t>da Lei nº 4.172, de 31 de março de 2009.</w:t>
      </w:r>
    </w:p>
    <w:p w:rsidR="00BB70F9" w:rsidRDefault="00BB70F9" w:rsidP="00BB70F9">
      <w:pPr>
        <w:ind w:firstLine="1418"/>
        <w:jc w:val="both"/>
        <w:rPr>
          <w:i/>
          <w:color w:val="000080"/>
          <w:sz w:val="24"/>
          <w:szCs w:val="24"/>
        </w:rPr>
      </w:pPr>
    </w:p>
    <w:p w:rsidR="00BB70F9" w:rsidRDefault="00BB70F9" w:rsidP="00BB70F9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4º </w:t>
      </w:r>
      <w:r>
        <w:rPr>
          <w:color w:val="000000"/>
          <w:sz w:val="24"/>
          <w:szCs w:val="24"/>
        </w:rPr>
        <w:t xml:space="preserve">Revogadas as disposições em contrário, esta Lei entrará em vigor na data da sua publicação. </w:t>
      </w:r>
    </w:p>
    <w:p w:rsidR="00BB70F9" w:rsidRDefault="00BB70F9" w:rsidP="00BB70F9">
      <w:pPr>
        <w:ind w:firstLine="1418"/>
        <w:jc w:val="both"/>
        <w:rPr>
          <w:color w:val="000000"/>
          <w:sz w:val="24"/>
          <w:szCs w:val="24"/>
        </w:rPr>
      </w:pPr>
    </w:p>
    <w:p w:rsidR="00BB70F9" w:rsidRDefault="00BB70F9" w:rsidP="00BB70F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BB70F9" w:rsidRDefault="00BB70F9" w:rsidP="00BB70F9">
      <w:pPr>
        <w:pStyle w:val="Corpodetexto32"/>
        <w:spacing w:line="100" w:lineRule="atLeast"/>
        <w:rPr>
          <w:rFonts w:ascii="Times New Roman" w:hAnsi="Times New Roman"/>
        </w:rPr>
      </w:pPr>
    </w:p>
    <w:p w:rsidR="00BB70F9" w:rsidRDefault="00BB70F9" w:rsidP="00BB70F9">
      <w:pPr>
        <w:pStyle w:val="Corpodetexto32"/>
        <w:spacing w:line="100" w:lineRule="atLeast"/>
        <w:rPr>
          <w:rFonts w:ascii="Times New Roman" w:hAnsi="Times New Roman"/>
        </w:rPr>
      </w:pPr>
    </w:p>
    <w:p w:rsidR="00BB70F9" w:rsidRDefault="00BB70F9" w:rsidP="00BB70F9">
      <w:pPr>
        <w:pStyle w:val="Corpodetexto32"/>
        <w:spacing w:line="100" w:lineRule="atLeast"/>
        <w:rPr>
          <w:rFonts w:ascii="Times New Roman" w:hAnsi="Times New Roman"/>
        </w:rPr>
      </w:pPr>
    </w:p>
    <w:p w:rsidR="00BB70F9" w:rsidRDefault="00BB70F9" w:rsidP="00BB70F9">
      <w:pPr>
        <w:pStyle w:val="Corpodetexto32"/>
        <w:spacing w:line="100" w:lineRule="atLeast"/>
        <w:rPr>
          <w:rFonts w:ascii="Times New Roman" w:hAnsi="Times New Roman"/>
        </w:rPr>
      </w:pPr>
    </w:p>
    <w:p w:rsidR="00BB70F9" w:rsidRDefault="00BB70F9" w:rsidP="00BB70F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B70F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B70F9" w:rsidRDefault="00BB70F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B70F9" w:rsidRDefault="00BB70F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B70F9" w:rsidRDefault="00BB70F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B70F9" w:rsidRDefault="00BB70F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BB70F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F9"/>
    <w:rsid w:val="000A2C50"/>
    <w:rsid w:val="00147E9B"/>
    <w:rsid w:val="004662F0"/>
    <w:rsid w:val="005B4ECA"/>
    <w:rsid w:val="0070535B"/>
    <w:rsid w:val="00757829"/>
    <w:rsid w:val="009E5F9A"/>
    <w:rsid w:val="00BB70F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48852-075F-48AC-AD5E-C79992B5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F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B70F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B70F9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BB70F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TxBrp7">
    <w:name w:val="TxBr_p7"/>
    <w:basedOn w:val="Normal"/>
    <w:rsid w:val="00BB70F9"/>
    <w:pPr>
      <w:widowControl w:val="0"/>
      <w:tabs>
        <w:tab w:val="left" w:pos="2114"/>
      </w:tabs>
      <w:suppressAutoHyphens w:val="0"/>
      <w:spacing w:line="283" w:lineRule="atLeast"/>
      <w:ind w:firstLine="2115"/>
    </w:pPr>
    <w:rPr>
      <w:rFonts w:eastAsia="Times New Roman"/>
      <w:sz w:val="24"/>
    </w:rPr>
  </w:style>
  <w:style w:type="paragraph" w:customStyle="1" w:styleId="TxBrp11">
    <w:name w:val="TxBr_p11"/>
    <w:basedOn w:val="Normal"/>
    <w:rsid w:val="00BB70F9"/>
    <w:pPr>
      <w:widowControl w:val="0"/>
      <w:tabs>
        <w:tab w:val="left" w:pos="204"/>
      </w:tabs>
      <w:suppressAutoHyphens w:val="0"/>
      <w:spacing w:line="240" w:lineRule="atLeast"/>
    </w:pPr>
    <w:rPr>
      <w:rFonts w:eastAsia="Times New Roman"/>
      <w:sz w:val="24"/>
    </w:rPr>
  </w:style>
  <w:style w:type="paragraph" w:customStyle="1" w:styleId="TxBrp6">
    <w:name w:val="TxBr_p6"/>
    <w:basedOn w:val="Normal"/>
    <w:rsid w:val="00BB70F9"/>
    <w:pPr>
      <w:widowControl w:val="0"/>
      <w:tabs>
        <w:tab w:val="left" w:pos="289"/>
        <w:tab w:val="left" w:pos="1213"/>
      </w:tabs>
      <w:suppressAutoHyphens w:val="0"/>
      <w:spacing w:line="277" w:lineRule="atLeast"/>
      <w:ind w:left="290" w:firstLine="924"/>
      <w:jc w:val="both"/>
    </w:pPr>
    <w:rPr>
      <w:rFonts w:eastAsia="Times New Roman"/>
      <w:sz w:val="24"/>
    </w:rPr>
  </w:style>
  <w:style w:type="paragraph" w:customStyle="1" w:styleId="TxBrp12">
    <w:name w:val="TxBr_p12"/>
    <w:basedOn w:val="Normal"/>
    <w:rsid w:val="00BB70F9"/>
    <w:pPr>
      <w:widowControl w:val="0"/>
      <w:tabs>
        <w:tab w:val="left" w:pos="204"/>
      </w:tabs>
      <w:suppressAutoHyphens w:val="0"/>
      <w:spacing w:line="240" w:lineRule="atLeast"/>
    </w:pPr>
    <w:rPr>
      <w:rFonts w:eastAsia="Times New Roman"/>
      <w:sz w:val="24"/>
    </w:rPr>
  </w:style>
  <w:style w:type="paragraph" w:customStyle="1" w:styleId="TxBrp4">
    <w:name w:val="TxBr_p4"/>
    <w:basedOn w:val="Normal"/>
    <w:rsid w:val="00BB70F9"/>
    <w:pPr>
      <w:widowControl w:val="0"/>
      <w:tabs>
        <w:tab w:val="left" w:pos="2018"/>
        <w:tab w:val="left" w:pos="4524"/>
        <w:tab w:val="left" w:pos="4858"/>
      </w:tabs>
      <w:suppressAutoHyphens w:val="0"/>
      <w:spacing w:line="283" w:lineRule="atLeast"/>
      <w:ind w:left="2018" w:firstLine="2506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2018-08-30T20:23:00Z</dcterms:created>
  <dcterms:modified xsi:type="dcterms:W3CDTF">2018-08-30T20:23:00Z</dcterms:modified>
</cp:coreProperties>
</file>