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8B" w:rsidRDefault="00B4148B" w:rsidP="00B4148B">
      <w:pPr>
        <w:pStyle w:val="BodyTextIndent2"/>
        <w:widowControl/>
        <w:ind w:firstLine="0"/>
        <w:rPr>
          <w:b/>
          <w:bCs/>
          <w:i/>
        </w:rPr>
      </w:pPr>
      <w:r>
        <w:rPr>
          <w:b/>
          <w:bCs/>
          <w:i/>
        </w:rPr>
        <w:t>LEI Nº 5121, DE 14 DE NOVEMBRO DE 2016.</w:t>
      </w:r>
    </w:p>
    <w:p w:rsidR="00B4148B" w:rsidRDefault="00B4148B" w:rsidP="00B4148B">
      <w:pPr>
        <w:pStyle w:val="BodyTextIndent2"/>
        <w:widowControl/>
        <w:ind w:firstLine="0"/>
        <w:jc w:val="center"/>
        <w:rPr>
          <w:b/>
          <w:bCs/>
          <w:i/>
        </w:rPr>
      </w:pPr>
    </w:p>
    <w:p w:rsidR="00B4148B" w:rsidRPr="001106EF" w:rsidRDefault="00B4148B" w:rsidP="00B4148B">
      <w:pPr>
        <w:ind w:left="4500"/>
        <w:jc w:val="both"/>
        <w:rPr>
          <w:b/>
          <w:i/>
          <w:color w:val="000000"/>
        </w:rPr>
      </w:pPr>
      <w:r w:rsidRPr="001106EF">
        <w:rPr>
          <w:b/>
          <w:bCs/>
          <w:i/>
          <w:iCs/>
          <w:color w:val="000000"/>
        </w:rPr>
        <w:t>Altera a redação do § 6º e § 7º, do artigo 99 da Lei nº 4172, de 31 de março de 2009, que dispõe sobre a contribuição previdenciária para os Poderes Executivo e Legislativo, autarquias e Fundações Públicas do Município de Formiga e dá outras providências.</w:t>
      </w:r>
    </w:p>
    <w:p w:rsidR="00B4148B" w:rsidRPr="00990CFD" w:rsidRDefault="00B4148B" w:rsidP="00B4148B">
      <w:pPr>
        <w:jc w:val="both"/>
        <w:rPr>
          <w:color w:val="000000"/>
        </w:rPr>
      </w:pPr>
    </w:p>
    <w:p w:rsidR="00B4148B" w:rsidRPr="00990CFD" w:rsidRDefault="00B4148B" w:rsidP="00B4148B">
      <w:pPr>
        <w:ind w:firstLine="708"/>
        <w:jc w:val="both"/>
        <w:rPr>
          <w:color w:val="000000"/>
        </w:rPr>
      </w:pPr>
      <w:r w:rsidRPr="00990CFD">
        <w:rPr>
          <w:color w:val="000000"/>
        </w:rPr>
        <w:t>O POVO DO MUNICÍPIO DE FORMIGA, POR SEUS REPRESENTANTES, APROVA E EU SANCIONO A SEGUINTE LEI:</w:t>
      </w:r>
    </w:p>
    <w:p w:rsidR="00B4148B" w:rsidRPr="00990CFD" w:rsidRDefault="00B4148B" w:rsidP="00B4148B">
      <w:pPr>
        <w:autoSpaceDE w:val="0"/>
        <w:autoSpaceDN w:val="0"/>
        <w:adjustRightInd w:val="0"/>
        <w:jc w:val="both"/>
        <w:rPr>
          <w:color w:val="000000"/>
        </w:rPr>
      </w:pPr>
    </w:p>
    <w:p w:rsidR="00B4148B" w:rsidRPr="00990CFD" w:rsidRDefault="00B4148B" w:rsidP="00B4148B">
      <w:pPr>
        <w:ind w:firstLine="708"/>
        <w:jc w:val="both"/>
      </w:pPr>
      <w:r w:rsidRPr="00990CFD">
        <w:rPr>
          <w:b/>
          <w:color w:val="000000"/>
        </w:rPr>
        <w:t>Art. 1º</w:t>
      </w:r>
      <w:r w:rsidRPr="00990CFD">
        <w:rPr>
          <w:color w:val="000000"/>
        </w:rPr>
        <w:t>. O § 6º e §7º, do artigo 99 da Lei nº 4172 de 31 de março de 2009, passam a vigorar com a seguinte redação:</w:t>
      </w:r>
    </w:p>
    <w:p w:rsidR="00B4148B" w:rsidRPr="00990CFD" w:rsidRDefault="00B4148B" w:rsidP="00B4148B">
      <w:pPr>
        <w:autoSpaceDE w:val="0"/>
        <w:autoSpaceDN w:val="0"/>
        <w:adjustRightInd w:val="0"/>
        <w:jc w:val="both"/>
        <w:rPr>
          <w:color w:val="000000"/>
        </w:rPr>
      </w:pPr>
    </w:p>
    <w:p w:rsidR="00B4148B" w:rsidRPr="00990CFD" w:rsidRDefault="00B4148B" w:rsidP="00B4148B">
      <w:pPr>
        <w:autoSpaceDE w:val="0"/>
        <w:autoSpaceDN w:val="0"/>
        <w:adjustRightInd w:val="0"/>
        <w:ind w:left="708"/>
        <w:jc w:val="both"/>
        <w:rPr>
          <w:i/>
        </w:rPr>
      </w:pPr>
      <w:r w:rsidRPr="00990CFD">
        <w:rPr>
          <w:i/>
        </w:rPr>
        <w:t>“Art. 99. [...]</w:t>
      </w:r>
    </w:p>
    <w:p w:rsidR="00B4148B" w:rsidRPr="00990CFD" w:rsidRDefault="00B4148B" w:rsidP="00B4148B">
      <w:pPr>
        <w:autoSpaceDE w:val="0"/>
        <w:autoSpaceDN w:val="0"/>
        <w:adjustRightInd w:val="0"/>
        <w:ind w:left="708"/>
        <w:jc w:val="both"/>
        <w:rPr>
          <w:i/>
        </w:rPr>
      </w:pPr>
      <w:r w:rsidRPr="00990CFD">
        <w:rPr>
          <w:i/>
        </w:rPr>
        <w:t>§ 1º. [...]</w:t>
      </w:r>
    </w:p>
    <w:p w:rsidR="00B4148B" w:rsidRPr="00990CFD" w:rsidRDefault="00B4148B" w:rsidP="00B4148B">
      <w:pPr>
        <w:autoSpaceDE w:val="0"/>
        <w:autoSpaceDN w:val="0"/>
        <w:adjustRightInd w:val="0"/>
        <w:ind w:left="708"/>
        <w:jc w:val="both"/>
        <w:rPr>
          <w:i/>
        </w:rPr>
      </w:pPr>
      <w:r w:rsidRPr="00990CFD">
        <w:rPr>
          <w:i/>
        </w:rPr>
        <w:t>§ 2º. [...]</w:t>
      </w:r>
    </w:p>
    <w:p w:rsidR="00B4148B" w:rsidRPr="00990CFD" w:rsidRDefault="00B4148B" w:rsidP="00B4148B">
      <w:pPr>
        <w:autoSpaceDE w:val="0"/>
        <w:autoSpaceDN w:val="0"/>
        <w:adjustRightInd w:val="0"/>
        <w:ind w:left="708"/>
        <w:jc w:val="both"/>
        <w:rPr>
          <w:i/>
        </w:rPr>
      </w:pPr>
      <w:r w:rsidRPr="00990CFD">
        <w:rPr>
          <w:i/>
        </w:rPr>
        <w:t>§ 3º. [...]</w:t>
      </w:r>
    </w:p>
    <w:p w:rsidR="00B4148B" w:rsidRPr="00990CFD" w:rsidRDefault="00B4148B" w:rsidP="00B4148B">
      <w:pPr>
        <w:autoSpaceDE w:val="0"/>
        <w:autoSpaceDN w:val="0"/>
        <w:adjustRightInd w:val="0"/>
        <w:ind w:left="708"/>
        <w:jc w:val="both"/>
        <w:rPr>
          <w:i/>
        </w:rPr>
      </w:pPr>
      <w:r w:rsidRPr="00990CFD">
        <w:rPr>
          <w:i/>
        </w:rPr>
        <w:t>§ 4º. [...]</w:t>
      </w:r>
    </w:p>
    <w:p w:rsidR="00B4148B" w:rsidRPr="00990CFD" w:rsidRDefault="00B4148B" w:rsidP="00B4148B">
      <w:pPr>
        <w:autoSpaceDE w:val="0"/>
        <w:autoSpaceDN w:val="0"/>
        <w:adjustRightInd w:val="0"/>
        <w:ind w:left="708"/>
        <w:jc w:val="both"/>
        <w:rPr>
          <w:i/>
        </w:rPr>
      </w:pPr>
      <w:r w:rsidRPr="00990CFD">
        <w:rPr>
          <w:i/>
        </w:rPr>
        <w:t>§ 5º. [...]</w:t>
      </w:r>
    </w:p>
    <w:p w:rsidR="00B4148B" w:rsidRPr="00990CFD" w:rsidRDefault="00B4148B" w:rsidP="00B4148B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i/>
          <w:color w:val="000000"/>
        </w:rPr>
      </w:pPr>
      <w:r w:rsidRPr="00990CFD">
        <w:rPr>
          <w:i/>
          <w:color w:val="000000"/>
        </w:rPr>
        <w:t xml:space="preserve">§ 6º. Para o equacionamento do déficit apurado na avaliação atuarial referente a 2016, no valor de R$ 105.605.180,72 (Cento e cinco milhões, seiscentos e cinco mil, cento e oitenta reais e setenta e dois centavos), o custo suplementar dos Poderes Executivo e Legislativo do Município de Formiga, incluindo suas autarquias e fundações, estruturado sob a forma de aplicação de alíquotas progressivas, considerará o </w:t>
      </w:r>
      <w:r w:rsidRPr="00990CFD">
        <w:rPr>
          <w:i/>
        </w:rPr>
        <w:t>período de 31 (trinta e um) anos</w:t>
      </w:r>
      <w:r w:rsidRPr="00990CFD">
        <w:rPr>
          <w:i/>
          <w:color w:val="000000"/>
        </w:rPr>
        <w:t>, sendo sua majoração realizada a cada 12 (doze) meses, com juros de 6% (seis por cento) ao ano, devendo os valores constantes na tabela do Anexo I, parte integrante desta Lei, serem atualizados monetariamente pelo INPC.</w:t>
      </w:r>
    </w:p>
    <w:p w:rsidR="00B4148B" w:rsidRDefault="00B4148B" w:rsidP="00B4148B">
      <w:pPr>
        <w:autoSpaceDE w:val="0"/>
        <w:autoSpaceDN w:val="0"/>
        <w:adjustRightInd w:val="0"/>
        <w:spacing w:after="120"/>
        <w:ind w:firstLine="709"/>
        <w:jc w:val="both"/>
        <w:rPr>
          <w:i/>
          <w:color w:val="000000"/>
        </w:rPr>
      </w:pPr>
      <w:r w:rsidRPr="00990CFD">
        <w:rPr>
          <w:i/>
          <w:color w:val="000000"/>
        </w:rPr>
        <w:t xml:space="preserve">§7º. O percentual de contribuição mensal do custo suplementar será alterado conforme Anexo I da presente Lei, a cada período de 12 (doze) meses, estando sujeito à revisão anual mediante elaboração de novos cálculos </w:t>
      </w:r>
      <w:proofErr w:type="gramStart"/>
      <w:r w:rsidRPr="00990CFD">
        <w:rPr>
          <w:i/>
          <w:color w:val="000000"/>
        </w:rPr>
        <w:t>atuariais.”</w:t>
      </w:r>
      <w:proofErr w:type="gramEnd"/>
    </w:p>
    <w:p w:rsidR="00B4148B" w:rsidRPr="00E6725B" w:rsidRDefault="00B4148B" w:rsidP="00B4148B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</w:p>
    <w:p w:rsidR="00B4148B" w:rsidRDefault="00B4148B" w:rsidP="00B4148B">
      <w:pPr>
        <w:ind w:firstLine="708"/>
        <w:jc w:val="both"/>
        <w:rPr>
          <w:color w:val="000000"/>
        </w:rPr>
      </w:pPr>
      <w:r w:rsidRPr="00990CFD">
        <w:rPr>
          <w:b/>
          <w:color w:val="000000"/>
        </w:rPr>
        <w:t>Art. 2º.</w:t>
      </w:r>
      <w:r w:rsidRPr="00990CFD">
        <w:rPr>
          <w:color w:val="000000"/>
        </w:rPr>
        <w:t xml:space="preserve"> Esta lei entrará em vigor 90 (noventa) dias após a sua publicação, revogadas as disposições em contrário, em especial a Lei n. 5.009, de 29 de dezembro de 2014. </w:t>
      </w:r>
    </w:p>
    <w:p w:rsidR="00B4148B" w:rsidRDefault="00B4148B" w:rsidP="00B4148B">
      <w:pPr>
        <w:ind w:firstLine="708"/>
        <w:jc w:val="both"/>
        <w:rPr>
          <w:color w:val="000000"/>
        </w:rPr>
      </w:pPr>
    </w:p>
    <w:p w:rsidR="00B4148B" w:rsidRDefault="00B4148B" w:rsidP="00B4148B">
      <w:pPr>
        <w:jc w:val="center"/>
        <w:rPr>
          <w:color w:val="000000"/>
        </w:rPr>
      </w:pPr>
      <w:r w:rsidRPr="0062379F">
        <w:rPr>
          <w:lang w:eastAsia="pt-BR"/>
        </w:rPr>
        <w:t>Gabinete do Prefeito em Formiga,</w:t>
      </w:r>
      <w:r>
        <w:rPr>
          <w:color w:val="000000"/>
        </w:rPr>
        <w:t xml:space="preserve"> 14 de novembro de 2016.</w:t>
      </w:r>
    </w:p>
    <w:p w:rsidR="00B4148B" w:rsidRDefault="00B4148B" w:rsidP="00B4148B">
      <w:pPr>
        <w:jc w:val="center"/>
        <w:rPr>
          <w:color w:val="000000"/>
        </w:rPr>
      </w:pPr>
    </w:p>
    <w:p w:rsidR="00B4148B" w:rsidRDefault="00B4148B" w:rsidP="00B4148B">
      <w:pPr>
        <w:jc w:val="center"/>
        <w:rPr>
          <w:color w:val="000000"/>
        </w:rPr>
      </w:pPr>
    </w:p>
    <w:p w:rsidR="00B4148B" w:rsidRDefault="00B4148B" w:rsidP="00B4148B">
      <w:pPr>
        <w:jc w:val="center"/>
        <w:rPr>
          <w:color w:val="000000"/>
        </w:rPr>
      </w:pPr>
    </w:p>
    <w:p w:rsidR="00B4148B" w:rsidRPr="00EC4F9E" w:rsidRDefault="00B4148B" w:rsidP="00B4148B">
      <w:pPr>
        <w:jc w:val="center"/>
        <w:rPr>
          <w:b/>
          <w:i/>
          <w:color w:val="000000"/>
        </w:rPr>
      </w:pPr>
      <w:r w:rsidRPr="00EC4F9E">
        <w:rPr>
          <w:b/>
          <w:i/>
          <w:color w:val="000000"/>
        </w:rPr>
        <w:t>EDUARDO BRÁS NETO ALMEIDA</w:t>
      </w:r>
    </w:p>
    <w:p w:rsidR="00B4148B" w:rsidRPr="00623BE5" w:rsidRDefault="00B4148B" w:rsidP="00B4148B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B4148B" w:rsidRDefault="00B4148B" w:rsidP="00B4148B">
      <w:pPr>
        <w:jc w:val="center"/>
        <w:rPr>
          <w:color w:val="000000"/>
        </w:rPr>
      </w:pPr>
    </w:p>
    <w:p w:rsidR="00B4148B" w:rsidRPr="001106EF" w:rsidRDefault="00B4148B" w:rsidP="00B4148B">
      <w:pPr>
        <w:jc w:val="center"/>
        <w:rPr>
          <w:color w:val="000000"/>
          <w:sz w:val="16"/>
          <w:szCs w:val="16"/>
        </w:rPr>
      </w:pPr>
    </w:p>
    <w:p w:rsidR="00B4148B" w:rsidRDefault="00B4148B" w:rsidP="00B4148B">
      <w:pPr>
        <w:jc w:val="center"/>
        <w:rPr>
          <w:color w:val="000000"/>
        </w:rPr>
      </w:pPr>
    </w:p>
    <w:p w:rsidR="00B4148B" w:rsidRDefault="00B4148B" w:rsidP="00B4148B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CARLOS HENRIQUE VESPÚCIO</w:t>
      </w:r>
    </w:p>
    <w:p w:rsidR="00B4148B" w:rsidRDefault="00B4148B" w:rsidP="00B4148B">
      <w:pPr>
        <w:tabs>
          <w:tab w:val="left" w:pos="1352"/>
        </w:tabs>
        <w:jc w:val="center"/>
        <w:rPr>
          <w:color w:val="000000"/>
        </w:rPr>
      </w:pPr>
      <w:r>
        <w:rPr>
          <w:color w:val="000000"/>
        </w:rPr>
        <w:t>Chefe de Gabinete</w:t>
      </w:r>
    </w:p>
    <w:p w:rsidR="00B4148B" w:rsidRPr="00C75B03" w:rsidRDefault="00B4148B" w:rsidP="00B4148B">
      <w:pPr>
        <w:ind w:firstLine="708"/>
        <w:jc w:val="both"/>
        <w:rPr>
          <w:color w:val="000000"/>
        </w:rPr>
      </w:pPr>
      <w:r>
        <w:br w:type="page"/>
      </w:r>
    </w:p>
    <w:p w:rsidR="00B4148B" w:rsidRPr="00990CFD" w:rsidRDefault="00B4148B" w:rsidP="00B4148B">
      <w:pPr>
        <w:pStyle w:val="BlockQuotation"/>
        <w:widowControl/>
        <w:ind w:left="0" w:right="0"/>
        <w:rPr>
          <w:rFonts w:cs="Times New Roman"/>
        </w:rPr>
      </w:pPr>
    </w:p>
    <w:p w:rsidR="00B4148B" w:rsidRPr="00990CFD" w:rsidRDefault="00B4148B" w:rsidP="00B4148B">
      <w:pPr>
        <w:pStyle w:val="AnexoNumerico"/>
        <w:tabs>
          <w:tab w:val="left" w:pos="720"/>
        </w:tabs>
        <w:spacing w:before="0" w:line="240" w:lineRule="auto"/>
        <w:ind w:left="0" w:firstLine="0"/>
        <w:jc w:val="center"/>
        <w:rPr>
          <w:b/>
          <w:color w:val="auto"/>
          <w:sz w:val="22"/>
          <w:szCs w:val="22"/>
        </w:rPr>
      </w:pPr>
      <w:r w:rsidRPr="00990CFD">
        <w:rPr>
          <w:b/>
          <w:sz w:val="22"/>
          <w:szCs w:val="22"/>
        </w:rPr>
        <w:t xml:space="preserve">ANEXO I – </w:t>
      </w:r>
      <w:r w:rsidRPr="00990CFD">
        <w:rPr>
          <w:b/>
          <w:color w:val="auto"/>
          <w:sz w:val="22"/>
          <w:szCs w:val="22"/>
        </w:rPr>
        <w:t>Plano de Amortização do Déficit Atuarial</w:t>
      </w:r>
    </w:p>
    <w:p w:rsidR="00B4148B" w:rsidRPr="00990CFD" w:rsidRDefault="00B4148B" w:rsidP="00B4148B"/>
    <w:tbl>
      <w:tblPr>
        <w:tblW w:w="216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2849"/>
      </w:tblGrid>
      <w:tr w:rsidR="00B4148B" w:rsidRPr="00990CFD" w:rsidTr="00994CCC">
        <w:trPr>
          <w:trHeight w:val="600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48B" w:rsidRPr="00990CFD" w:rsidRDefault="00B4148B" w:rsidP="00994CCC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90CFD">
              <w:rPr>
                <w:b/>
                <w:bCs/>
                <w:color w:val="000000"/>
                <w:szCs w:val="20"/>
              </w:rPr>
              <w:t>Ano</w:t>
            </w:r>
          </w:p>
        </w:tc>
        <w:tc>
          <w:tcPr>
            <w:tcW w:w="3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148B" w:rsidRPr="00990CFD" w:rsidRDefault="00B4148B" w:rsidP="00994CCC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90CFD">
              <w:rPr>
                <w:b/>
                <w:bCs/>
                <w:color w:val="000000"/>
                <w:szCs w:val="20"/>
              </w:rPr>
              <w:t>Alíquotas de Custo Suplementar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2016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4,07%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2017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5,24%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2018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6,42%</w:t>
            </w:r>
          </w:p>
        </w:tc>
      </w:tr>
      <w:tr w:rsidR="00B4148B" w:rsidRPr="00990CFD" w:rsidTr="00994CCC">
        <w:trPr>
          <w:trHeight w:val="343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2019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7,59%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2020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8,77%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2021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9,94%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2022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11,12%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2023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12,29%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2024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13,46%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2025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14,64%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2026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15,81%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2027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16,99%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2028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18,16%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2029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19,34%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2030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20,51%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2031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21,69%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2032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22,86%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2033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24,03%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2034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25,21%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2035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26,38%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2036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27,56%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2037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28,73%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2038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29,91%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2039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31,08%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2040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32,25%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2041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33,43%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2042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34,60%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2043</w:t>
            </w:r>
          </w:p>
        </w:tc>
        <w:tc>
          <w:tcPr>
            <w:tcW w:w="3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35,78%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2044</w:t>
            </w:r>
          </w:p>
        </w:tc>
        <w:tc>
          <w:tcPr>
            <w:tcW w:w="3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36,95%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2045</w:t>
            </w:r>
          </w:p>
        </w:tc>
        <w:tc>
          <w:tcPr>
            <w:tcW w:w="3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38,13%</w:t>
            </w:r>
          </w:p>
        </w:tc>
      </w:tr>
      <w:tr w:rsidR="00B4148B" w:rsidRPr="00990CFD" w:rsidTr="00994CCC">
        <w:trPr>
          <w:trHeight w:val="300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2046</w:t>
            </w:r>
          </w:p>
        </w:tc>
        <w:tc>
          <w:tcPr>
            <w:tcW w:w="3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8B" w:rsidRPr="00990CFD" w:rsidRDefault="00B4148B" w:rsidP="00994CCC">
            <w:pPr>
              <w:jc w:val="center"/>
              <w:rPr>
                <w:color w:val="000000"/>
                <w:szCs w:val="20"/>
              </w:rPr>
            </w:pPr>
            <w:r w:rsidRPr="00990CFD">
              <w:rPr>
                <w:color w:val="000000"/>
                <w:szCs w:val="20"/>
              </w:rPr>
              <w:t>39,30%</w:t>
            </w:r>
          </w:p>
        </w:tc>
      </w:tr>
    </w:tbl>
    <w:p w:rsidR="00B4148B" w:rsidRDefault="00B4148B" w:rsidP="00B4148B">
      <w:pPr>
        <w:pStyle w:val="BodyTextIndent2"/>
        <w:widowControl/>
        <w:ind w:firstLine="0"/>
        <w:jc w:val="center"/>
        <w:rPr>
          <w:b/>
          <w:bCs/>
          <w:i/>
        </w:rPr>
      </w:pPr>
    </w:p>
    <w:p w:rsidR="0030374B" w:rsidRDefault="00B4148B" w:rsidP="00B4148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8B"/>
    <w:rsid w:val="004662F0"/>
    <w:rsid w:val="005B4ECA"/>
    <w:rsid w:val="0070535B"/>
    <w:rsid w:val="009E5F9A"/>
    <w:rsid w:val="00B4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201ED-E5B1-46E1-AB77-738944E5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4148B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Indent2">
    <w:name w:val="Body Text Indent 2"/>
    <w:basedOn w:val="Normal"/>
    <w:rsid w:val="00B4148B"/>
    <w:pPr>
      <w:ind w:firstLine="1416"/>
      <w:jc w:val="both"/>
    </w:pPr>
    <w:rPr>
      <w:kern w:val="0"/>
      <w:szCs w:val="20"/>
      <w:lang w:eastAsia="ar-SA" w:bidi="ar-SA"/>
    </w:rPr>
  </w:style>
  <w:style w:type="paragraph" w:customStyle="1" w:styleId="AnexoNumerico">
    <w:name w:val="Anexo Numerico"/>
    <w:basedOn w:val="Normal"/>
    <w:next w:val="Normal"/>
    <w:rsid w:val="00B4148B"/>
    <w:pPr>
      <w:widowControl/>
      <w:tabs>
        <w:tab w:val="num" w:pos="720"/>
      </w:tabs>
      <w:suppressAutoHyphens w:val="0"/>
      <w:spacing w:before="240" w:line="480" w:lineRule="auto"/>
      <w:ind w:left="720" w:hanging="360"/>
      <w:jc w:val="both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2018-07-10T18:06:00Z</dcterms:created>
  <dcterms:modified xsi:type="dcterms:W3CDTF">2018-07-10T18:06:00Z</dcterms:modified>
</cp:coreProperties>
</file>